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10" w:type="dxa"/>
        <w:tblLayout w:type="fixed"/>
        <w:tblLook w:val="0000" w:firstRow="0" w:lastRow="0" w:firstColumn="0" w:lastColumn="0" w:noHBand="0" w:noVBand="0"/>
      </w:tblPr>
      <w:tblGrid>
        <w:gridCol w:w="4532"/>
        <w:gridCol w:w="715"/>
        <w:gridCol w:w="4690"/>
      </w:tblGrid>
      <w:tr w:rsidR="003D0A34" w:rsidRPr="00A30442" w:rsidTr="006E0F38">
        <w:trPr>
          <w:cantSplit/>
          <w:trHeight w:val="1248"/>
        </w:trPr>
        <w:tc>
          <w:tcPr>
            <w:tcW w:w="4532" w:type="dxa"/>
            <w:vMerge w:val="restart"/>
          </w:tcPr>
          <w:p w:rsidR="00296588" w:rsidRDefault="00D1433D" w:rsidP="0011435C">
            <w:pPr>
              <w:ind w:left="-94" w:right="-122"/>
              <w:jc w:val="center"/>
              <w:rPr>
                <w:b/>
                <w:spacing w:val="20"/>
                <w:sz w:val="22"/>
                <w:szCs w:val="22"/>
              </w:rPr>
            </w:pPr>
            <w:r>
              <w:rPr>
                <w:b/>
                <w:spacing w:val="20"/>
                <w:sz w:val="22"/>
                <w:szCs w:val="22"/>
              </w:rPr>
              <w:t>-</w:t>
            </w:r>
            <w:r w:rsidR="00A7228D" w:rsidRPr="00A47833">
              <w:rPr>
                <w:b/>
                <w:spacing w:val="20"/>
                <w:sz w:val="22"/>
                <w:szCs w:val="22"/>
              </w:rPr>
              <w:t>КОНТРОЛЬНО-СЧЕТНАЯ ПАЛАТА</w:t>
            </w:r>
          </w:p>
          <w:p w:rsidR="00FD3C0A" w:rsidRPr="00A47833" w:rsidRDefault="00A7228D" w:rsidP="0011435C">
            <w:pPr>
              <w:ind w:left="-94" w:right="-122"/>
              <w:jc w:val="center"/>
              <w:rPr>
                <w:b/>
                <w:spacing w:val="20"/>
                <w:sz w:val="22"/>
                <w:szCs w:val="22"/>
              </w:rPr>
            </w:pPr>
            <w:r w:rsidRPr="00A47833">
              <w:rPr>
                <w:b/>
                <w:spacing w:val="20"/>
                <w:sz w:val="22"/>
                <w:szCs w:val="22"/>
              </w:rPr>
              <w:t>АРСЕНЬЕВСКОГО</w:t>
            </w:r>
          </w:p>
          <w:p w:rsidR="003D0A34" w:rsidRPr="00A47833" w:rsidRDefault="00A7228D" w:rsidP="0011435C">
            <w:pPr>
              <w:ind w:left="-94" w:right="-122"/>
              <w:jc w:val="center"/>
              <w:rPr>
                <w:b/>
                <w:spacing w:val="20"/>
                <w:sz w:val="22"/>
                <w:szCs w:val="22"/>
              </w:rPr>
            </w:pPr>
            <w:r w:rsidRPr="00A47833">
              <w:rPr>
                <w:b/>
                <w:spacing w:val="20"/>
                <w:sz w:val="22"/>
                <w:szCs w:val="22"/>
              </w:rPr>
              <w:t>ГОРОДСКОГО ОКРУГА</w:t>
            </w:r>
          </w:p>
          <w:p w:rsidR="003D0A34" w:rsidRDefault="003D0A34" w:rsidP="00FA4EA4">
            <w:pPr>
              <w:ind w:left="-94"/>
              <w:jc w:val="center"/>
              <w:rPr>
                <w:sz w:val="10"/>
              </w:rPr>
            </w:pPr>
          </w:p>
          <w:p w:rsidR="006E5C5D" w:rsidRDefault="006E5C5D" w:rsidP="0011435C">
            <w:pPr>
              <w:jc w:val="center"/>
              <w:rPr>
                <w:sz w:val="22"/>
                <w:szCs w:val="22"/>
              </w:rPr>
            </w:pPr>
            <w:r>
              <w:rPr>
                <w:sz w:val="22"/>
                <w:szCs w:val="22"/>
                <w:lang w:val="de-DE"/>
              </w:rPr>
              <w:fldChar w:fldCharType="begin">
                <w:ffData>
                  <w:name w:val=""/>
                  <w:enabled w:val="0"/>
                  <w:calcOnExit w:val="0"/>
                  <w:textInput>
                    <w:default w:val="692337, г. Арсеньев, ул. Ленинская, 8                     тел/факс (42361) 3-04-97, 4-37-75"/>
                  </w:textInput>
                </w:ffData>
              </w:fldChar>
            </w:r>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692337, г. Арсеньев, ул. Ленинская, 8                     тел/факс (42361) 3-04-97, 4-37-75</w:t>
            </w:r>
            <w:r>
              <w:rPr>
                <w:sz w:val="22"/>
                <w:szCs w:val="22"/>
                <w:lang w:val="de-DE"/>
              </w:rPr>
              <w:fldChar w:fldCharType="end"/>
            </w:r>
          </w:p>
          <w:p w:rsidR="00450D6E" w:rsidRPr="00450D6E" w:rsidRDefault="003A687D" w:rsidP="003A687D">
            <w:pPr>
              <w:rPr>
                <w:sz w:val="22"/>
                <w:szCs w:val="22"/>
              </w:rPr>
            </w:pPr>
            <w:r>
              <w:rPr>
                <w:sz w:val="22"/>
                <w:szCs w:val="22"/>
              </w:rPr>
              <w:t xml:space="preserve">        </w:t>
            </w:r>
            <w:r w:rsidR="00450D6E">
              <w:rPr>
                <w:sz w:val="22"/>
                <w:szCs w:val="22"/>
              </w:rPr>
              <w:t xml:space="preserve">от </w:t>
            </w:r>
            <w:r w:rsidR="00BE340B">
              <w:rPr>
                <w:sz w:val="22"/>
                <w:szCs w:val="22"/>
              </w:rPr>
              <w:t xml:space="preserve"> </w:t>
            </w:r>
            <w:r w:rsidR="00450D6E">
              <w:rPr>
                <w:sz w:val="22"/>
                <w:szCs w:val="22"/>
              </w:rPr>
              <w:t xml:space="preserve">«   </w:t>
            </w:r>
            <w:r w:rsidR="003823EB">
              <w:rPr>
                <w:sz w:val="22"/>
                <w:szCs w:val="22"/>
              </w:rPr>
              <w:t xml:space="preserve"> </w:t>
            </w:r>
            <w:r w:rsidR="00BE340B">
              <w:rPr>
                <w:sz w:val="22"/>
                <w:szCs w:val="22"/>
              </w:rPr>
              <w:t xml:space="preserve">   </w:t>
            </w:r>
            <w:r w:rsidR="003823EB">
              <w:rPr>
                <w:sz w:val="22"/>
                <w:szCs w:val="22"/>
              </w:rPr>
              <w:t xml:space="preserve"> </w:t>
            </w:r>
            <w:r w:rsidR="00450D6E">
              <w:rPr>
                <w:sz w:val="22"/>
                <w:szCs w:val="22"/>
              </w:rPr>
              <w:t xml:space="preserve">   »   </w:t>
            </w:r>
            <w:r w:rsidR="0011435C">
              <w:rPr>
                <w:sz w:val="22"/>
                <w:szCs w:val="22"/>
              </w:rPr>
              <w:t xml:space="preserve">   </w:t>
            </w:r>
            <w:r>
              <w:rPr>
                <w:sz w:val="22"/>
                <w:szCs w:val="22"/>
              </w:rPr>
              <w:t xml:space="preserve">  </w:t>
            </w:r>
            <w:r w:rsidR="00BE340B">
              <w:rPr>
                <w:sz w:val="22"/>
                <w:szCs w:val="22"/>
              </w:rPr>
              <w:t xml:space="preserve">       </w:t>
            </w:r>
            <w:r w:rsidR="0011435C">
              <w:rPr>
                <w:sz w:val="22"/>
                <w:szCs w:val="22"/>
              </w:rPr>
              <w:t xml:space="preserve">     </w:t>
            </w:r>
            <w:r w:rsidR="00450D6E">
              <w:rPr>
                <w:sz w:val="22"/>
                <w:szCs w:val="22"/>
              </w:rPr>
              <w:t xml:space="preserve">  </w:t>
            </w:r>
            <w:r w:rsidR="0011435C">
              <w:rPr>
                <w:sz w:val="22"/>
                <w:szCs w:val="22"/>
              </w:rPr>
              <w:t xml:space="preserve">    </w:t>
            </w:r>
            <w:r w:rsidR="00450D6E">
              <w:rPr>
                <w:sz w:val="22"/>
                <w:szCs w:val="22"/>
              </w:rPr>
              <w:t xml:space="preserve"> 201</w:t>
            </w:r>
            <w:r w:rsidR="0011435C">
              <w:rPr>
                <w:sz w:val="22"/>
                <w:szCs w:val="22"/>
              </w:rPr>
              <w:t xml:space="preserve"> </w:t>
            </w:r>
            <w:r w:rsidR="00450D6E">
              <w:rPr>
                <w:sz w:val="22"/>
                <w:szCs w:val="22"/>
              </w:rPr>
              <w:t xml:space="preserve">    г.  №</w:t>
            </w:r>
            <w:r w:rsidR="0011435C">
              <w:rPr>
                <w:sz w:val="22"/>
                <w:szCs w:val="22"/>
              </w:rPr>
              <w:t xml:space="preserve">   </w:t>
            </w:r>
          </w:p>
          <w:p w:rsidR="0023446D" w:rsidRPr="00347B5E" w:rsidRDefault="0023446D" w:rsidP="0023446D">
            <w:pPr>
              <w:ind w:left="-96"/>
              <w:jc w:val="center"/>
              <w:rPr>
                <w:lang w:val="de-DE"/>
              </w:rPr>
            </w:pPr>
          </w:p>
        </w:tc>
        <w:tc>
          <w:tcPr>
            <w:tcW w:w="715" w:type="dxa"/>
            <w:vMerge w:val="restart"/>
          </w:tcPr>
          <w:p w:rsidR="003D0A34" w:rsidRPr="00A30442" w:rsidRDefault="003D0A34">
            <w:pPr>
              <w:jc w:val="center"/>
              <w:rPr>
                <w:sz w:val="26"/>
                <w:lang w:val="de-DE"/>
              </w:rPr>
            </w:pPr>
          </w:p>
        </w:tc>
        <w:tc>
          <w:tcPr>
            <w:tcW w:w="4690" w:type="dxa"/>
          </w:tcPr>
          <w:p w:rsidR="00BE340B" w:rsidRDefault="00BE340B" w:rsidP="003A687D">
            <w:pPr>
              <w:rPr>
                <w:sz w:val="28"/>
                <w:szCs w:val="28"/>
              </w:rPr>
            </w:pPr>
            <w:r>
              <w:rPr>
                <w:sz w:val="28"/>
                <w:szCs w:val="28"/>
              </w:rPr>
              <w:t>Директору</w:t>
            </w:r>
          </w:p>
          <w:p w:rsidR="003D0A34" w:rsidRDefault="00BE340B" w:rsidP="003A687D">
            <w:pPr>
              <w:rPr>
                <w:sz w:val="28"/>
                <w:szCs w:val="28"/>
              </w:rPr>
            </w:pPr>
            <w:r>
              <w:rPr>
                <w:sz w:val="28"/>
                <w:szCs w:val="28"/>
              </w:rPr>
              <w:t>МКУ «ЦБУО» АГО</w:t>
            </w:r>
          </w:p>
          <w:p w:rsidR="00BE340B" w:rsidRDefault="00BE340B" w:rsidP="003A687D">
            <w:pPr>
              <w:rPr>
                <w:sz w:val="28"/>
                <w:szCs w:val="28"/>
              </w:rPr>
            </w:pPr>
          </w:p>
          <w:p w:rsidR="00BE340B" w:rsidRPr="00BE340B" w:rsidRDefault="00BE340B" w:rsidP="003A687D">
            <w:pPr>
              <w:rPr>
                <w:sz w:val="28"/>
                <w:szCs w:val="28"/>
              </w:rPr>
            </w:pPr>
            <w:r>
              <w:rPr>
                <w:sz w:val="28"/>
                <w:szCs w:val="28"/>
              </w:rPr>
              <w:t>Соколовой Л.В.</w:t>
            </w:r>
          </w:p>
        </w:tc>
      </w:tr>
      <w:tr w:rsidR="0046645D" w:rsidRPr="00A30442" w:rsidTr="006E0F38">
        <w:trPr>
          <w:cantSplit/>
          <w:trHeight w:val="1262"/>
        </w:trPr>
        <w:tc>
          <w:tcPr>
            <w:tcW w:w="4532" w:type="dxa"/>
            <w:vMerge/>
          </w:tcPr>
          <w:p w:rsidR="0046645D" w:rsidRPr="00A30442" w:rsidRDefault="0046645D">
            <w:pPr>
              <w:jc w:val="center"/>
              <w:rPr>
                <w:noProof/>
                <w:lang w:val="de-DE"/>
              </w:rPr>
            </w:pPr>
          </w:p>
        </w:tc>
        <w:tc>
          <w:tcPr>
            <w:tcW w:w="715" w:type="dxa"/>
            <w:vMerge/>
          </w:tcPr>
          <w:p w:rsidR="0046645D" w:rsidRPr="00A30442" w:rsidRDefault="0046645D">
            <w:pPr>
              <w:jc w:val="center"/>
              <w:rPr>
                <w:sz w:val="26"/>
                <w:lang w:val="de-DE"/>
              </w:rPr>
            </w:pPr>
          </w:p>
        </w:tc>
        <w:tc>
          <w:tcPr>
            <w:tcW w:w="4690" w:type="dxa"/>
          </w:tcPr>
          <w:p w:rsidR="00AE0960" w:rsidRDefault="00AE0960" w:rsidP="00283B18">
            <w:pPr>
              <w:ind w:left="-108"/>
              <w:rPr>
                <w:sz w:val="28"/>
                <w:szCs w:val="28"/>
              </w:rPr>
            </w:pPr>
          </w:p>
          <w:p w:rsidR="00AE0960" w:rsidRDefault="00AE0960" w:rsidP="00283B18">
            <w:pPr>
              <w:ind w:left="-108"/>
              <w:rPr>
                <w:sz w:val="28"/>
                <w:szCs w:val="28"/>
              </w:rPr>
            </w:pPr>
          </w:p>
          <w:p w:rsidR="00AE0960" w:rsidRDefault="00AE0960" w:rsidP="00283B18">
            <w:pPr>
              <w:ind w:left="-108"/>
              <w:rPr>
                <w:sz w:val="28"/>
                <w:szCs w:val="28"/>
              </w:rPr>
            </w:pPr>
          </w:p>
          <w:p w:rsidR="00AE0960" w:rsidRPr="00283B18" w:rsidRDefault="00AE0960" w:rsidP="00283B18">
            <w:pPr>
              <w:ind w:left="-108"/>
              <w:rPr>
                <w:sz w:val="28"/>
                <w:szCs w:val="28"/>
              </w:rPr>
            </w:pPr>
          </w:p>
        </w:tc>
      </w:tr>
    </w:tbl>
    <w:p w:rsidR="003D0A34" w:rsidRDefault="003D0A34">
      <w:pPr>
        <w:pStyle w:val="a4"/>
        <w:tabs>
          <w:tab w:val="left" w:pos="8080"/>
        </w:tabs>
        <w:rPr>
          <w:b w:val="0"/>
          <w:sz w:val="26"/>
        </w:rPr>
      </w:pPr>
    </w:p>
    <w:p w:rsidR="00C82005" w:rsidRDefault="00C82005" w:rsidP="00C82005">
      <w:pPr>
        <w:pStyle w:val="a4"/>
        <w:tabs>
          <w:tab w:val="left" w:pos="8080"/>
        </w:tabs>
        <w:jc w:val="left"/>
        <w:rPr>
          <w:b w:val="0"/>
          <w:szCs w:val="28"/>
        </w:rPr>
      </w:pPr>
      <w:r>
        <w:rPr>
          <w:b w:val="0"/>
          <w:szCs w:val="28"/>
        </w:rPr>
        <w:t>Представление</w:t>
      </w:r>
    </w:p>
    <w:p w:rsidR="00394990" w:rsidRDefault="00C82005" w:rsidP="00C82005">
      <w:pPr>
        <w:pStyle w:val="a4"/>
        <w:tabs>
          <w:tab w:val="left" w:pos="8080"/>
        </w:tabs>
        <w:jc w:val="left"/>
        <w:rPr>
          <w:b w:val="0"/>
          <w:szCs w:val="28"/>
        </w:rPr>
      </w:pPr>
      <w:r>
        <w:rPr>
          <w:b w:val="0"/>
          <w:szCs w:val="28"/>
        </w:rPr>
        <w:t>«О нарушениях</w:t>
      </w:r>
      <w:r w:rsidR="00CE470D">
        <w:rPr>
          <w:b w:val="0"/>
          <w:szCs w:val="28"/>
        </w:rPr>
        <w:t xml:space="preserve"> </w:t>
      </w:r>
      <w:r>
        <w:rPr>
          <w:b w:val="0"/>
          <w:szCs w:val="28"/>
        </w:rPr>
        <w:t xml:space="preserve"> </w:t>
      </w:r>
      <w:r w:rsidR="00CE470D">
        <w:rPr>
          <w:b w:val="0"/>
          <w:szCs w:val="28"/>
        </w:rPr>
        <w:t>бюджетн</w:t>
      </w:r>
      <w:r w:rsidR="00394990">
        <w:rPr>
          <w:b w:val="0"/>
          <w:szCs w:val="28"/>
        </w:rPr>
        <w:t>ого</w:t>
      </w:r>
    </w:p>
    <w:p w:rsidR="00C82005" w:rsidRPr="00856615" w:rsidRDefault="00394990" w:rsidP="00C82005">
      <w:pPr>
        <w:pStyle w:val="a4"/>
        <w:tabs>
          <w:tab w:val="left" w:pos="8080"/>
        </w:tabs>
        <w:jc w:val="left"/>
        <w:rPr>
          <w:b w:val="0"/>
          <w:szCs w:val="28"/>
        </w:rPr>
      </w:pPr>
      <w:r>
        <w:rPr>
          <w:b w:val="0"/>
          <w:szCs w:val="28"/>
        </w:rPr>
        <w:t xml:space="preserve">и </w:t>
      </w:r>
      <w:r w:rsidR="00CE470D">
        <w:rPr>
          <w:b w:val="0"/>
          <w:szCs w:val="28"/>
        </w:rPr>
        <w:t xml:space="preserve">финансового </w:t>
      </w:r>
      <w:r>
        <w:rPr>
          <w:b w:val="0"/>
          <w:szCs w:val="28"/>
        </w:rPr>
        <w:t xml:space="preserve"> </w:t>
      </w:r>
      <w:r w:rsidR="00C82005">
        <w:rPr>
          <w:b w:val="0"/>
          <w:szCs w:val="28"/>
        </w:rPr>
        <w:t>законодательства»</w:t>
      </w:r>
    </w:p>
    <w:p w:rsidR="00B456F6" w:rsidRDefault="00B456F6" w:rsidP="00B456F6">
      <w:pPr>
        <w:pStyle w:val="ac"/>
        <w:spacing w:line="264" w:lineRule="auto"/>
        <w:jc w:val="both"/>
        <w:rPr>
          <w:sz w:val="26"/>
          <w:szCs w:val="26"/>
        </w:rPr>
      </w:pPr>
    </w:p>
    <w:p w:rsidR="00B456F6" w:rsidRPr="00FC7DFE" w:rsidRDefault="00D341C7" w:rsidP="00B456F6">
      <w:pPr>
        <w:pStyle w:val="ac"/>
        <w:spacing w:line="264" w:lineRule="auto"/>
        <w:jc w:val="both"/>
        <w:rPr>
          <w:sz w:val="28"/>
          <w:szCs w:val="28"/>
        </w:rPr>
      </w:pPr>
      <w:r>
        <w:rPr>
          <w:sz w:val="28"/>
          <w:szCs w:val="28"/>
        </w:rPr>
        <w:t xml:space="preserve">      </w:t>
      </w:r>
      <w:proofErr w:type="gramStart"/>
      <w:r w:rsidR="00B456F6" w:rsidRPr="00FC7DFE">
        <w:rPr>
          <w:sz w:val="28"/>
          <w:szCs w:val="28"/>
        </w:rPr>
        <w:t>Основанием для проведения контрольного мероприятия в виде проверки явился пункт 2 Плана проведения контрольных мероприятий Контрольно-счетной палаты Арсеньевского городского округа на второй квартал 2016 года, а предметом контрольного мероприятия (проверки): регистры бюджетного учёта за 2013 - 2015 годы, первичные и иные бухгалтерские учётные документы за 2013-2015 годы, годовая бухгалтерская отчётность, а также иные документы и материалы, необходимые для проведения проверки.</w:t>
      </w:r>
      <w:proofErr w:type="gramEnd"/>
    </w:p>
    <w:p w:rsidR="00B456F6" w:rsidRPr="00FC7DFE" w:rsidRDefault="00B456F6" w:rsidP="00B456F6">
      <w:pPr>
        <w:spacing w:line="264" w:lineRule="auto"/>
        <w:ind w:firstLine="426"/>
        <w:jc w:val="both"/>
        <w:rPr>
          <w:sz w:val="28"/>
          <w:szCs w:val="28"/>
        </w:rPr>
      </w:pPr>
      <w:proofErr w:type="gramStart"/>
      <w:r w:rsidRPr="00FC7DFE">
        <w:rPr>
          <w:sz w:val="28"/>
          <w:szCs w:val="28"/>
        </w:rPr>
        <w:t xml:space="preserve">Выборочной проверкой правильности учета и правомерности списания материальных ценностей и основных средств установлено, что в нарушение пунктов 66, 333 Инструкцией об утверждении Единого </w:t>
      </w:r>
      <w:hyperlink r:id="rId9" w:history="1">
        <w:r w:rsidRPr="00FC7DFE">
          <w:rPr>
            <w:sz w:val="28"/>
            <w:szCs w:val="28"/>
          </w:rPr>
          <w:t>плана</w:t>
        </w:r>
      </w:hyperlink>
      <w:r w:rsidRPr="00FC7DFE">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Министерством Финансов Российской Федерации от 01.12.2010 № 157н</w:t>
      </w:r>
      <w:proofErr w:type="gramEnd"/>
      <w:r w:rsidRPr="00FC7DFE">
        <w:rPr>
          <w:sz w:val="28"/>
          <w:szCs w:val="28"/>
        </w:rPr>
        <w:t xml:space="preserve">, </w:t>
      </w:r>
      <w:proofErr w:type="gramStart"/>
      <w:r w:rsidRPr="00FC7DFE">
        <w:rPr>
          <w:sz w:val="28"/>
          <w:szCs w:val="28"/>
        </w:rPr>
        <w:t xml:space="preserve">без учета стоимости прав на использование программы на за балансовом счете 01 </w:t>
      </w:r>
      <w:r w:rsidRPr="00FC7DFE">
        <w:rPr>
          <w:rFonts w:eastAsia="Calibri"/>
          <w:sz w:val="28"/>
          <w:szCs w:val="28"/>
          <w:lang w:eastAsia="en-US"/>
        </w:rPr>
        <w:t xml:space="preserve">«Имущество, полученное в пользование», </w:t>
      </w:r>
      <w:r w:rsidRPr="00FC7DFE">
        <w:rPr>
          <w:sz w:val="28"/>
          <w:szCs w:val="28"/>
        </w:rPr>
        <w:t xml:space="preserve">списаны на расходы учреждения 2014 - 2015 годов неисключительные права на использование программ для ЭВМ на общую сумму </w:t>
      </w:r>
      <w:r w:rsidRPr="00FC7DFE">
        <w:rPr>
          <w:b/>
          <w:sz w:val="28"/>
          <w:szCs w:val="28"/>
        </w:rPr>
        <w:t xml:space="preserve">205 500,00 </w:t>
      </w:r>
      <w:r w:rsidRPr="00FC7DFE">
        <w:rPr>
          <w:sz w:val="28"/>
          <w:szCs w:val="28"/>
        </w:rPr>
        <w:t>руб., приобретенные в пользование учреждением и заключенные:</w:t>
      </w:r>
      <w:proofErr w:type="gramEnd"/>
    </w:p>
    <w:p w:rsidR="00B456F6" w:rsidRPr="00FC7DFE" w:rsidRDefault="00B456F6" w:rsidP="00B456F6">
      <w:pPr>
        <w:pStyle w:val="ad"/>
        <w:numPr>
          <w:ilvl w:val="0"/>
          <w:numId w:val="2"/>
        </w:numPr>
        <w:spacing w:line="264" w:lineRule="auto"/>
        <w:ind w:left="142" w:hanging="142"/>
        <w:jc w:val="both"/>
        <w:rPr>
          <w:sz w:val="28"/>
          <w:szCs w:val="28"/>
        </w:rPr>
      </w:pPr>
      <w:r w:rsidRPr="00FC7DFE">
        <w:rPr>
          <w:sz w:val="28"/>
          <w:szCs w:val="28"/>
        </w:rPr>
        <w:t xml:space="preserve"> с ООО «</w:t>
      </w:r>
      <w:proofErr w:type="spellStart"/>
      <w:r w:rsidRPr="00FC7DFE">
        <w:rPr>
          <w:sz w:val="28"/>
          <w:szCs w:val="28"/>
        </w:rPr>
        <w:t>Кейсистемс</w:t>
      </w:r>
      <w:proofErr w:type="spellEnd"/>
      <w:r w:rsidRPr="00FC7DFE">
        <w:rPr>
          <w:sz w:val="28"/>
          <w:szCs w:val="28"/>
        </w:rPr>
        <w:t xml:space="preserve"> - Владивосток» на предоставление неисключительного права на использование программы для ЭВМ:</w:t>
      </w:r>
    </w:p>
    <w:p w:rsidR="00B456F6" w:rsidRPr="00FC7DFE" w:rsidRDefault="00B456F6" w:rsidP="00B456F6">
      <w:pPr>
        <w:spacing w:line="264" w:lineRule="auto"/>
        <w:ind w:firstLine="426"/>
        <w:jc w:val="both"/>
        <w:rPr>
          <w:sz w:val="28"/>
          <w:szCs w:val="28"/>
        </w:rPr>
      </w:pPr>
      <w:r w:rsidRPr="00FC7DFE">
        <w:rPr>
          <w:sz w:val="28"/>
          <w:szCs w:val="28"/>
        </w:rPr>
        <w:t xml:space="preserve">- по </w:t>
      </w:r>
      <w:proofErr w:type="spellStart"/>
      <w:r w:rsidRPr="00FC7DFE">
        <w:rPr>
          <w:sz w:val="28"/>
          <w:szCs w:val="28"/>
        </w:rPr>
        <w:t>сублицензионному</w:t>
      </w:r>
      <w:proofErr w:type="spellEnd"/>
      <w:r w:rsidRPr="00FC7DFE">
        <w:rPr>
          <w:sz w:val="28"/>
          <w:szCs w:val="28"/>
        </w:rPr>
        <w:t xml:space="preserve"> договору № К14Ф2-6 от 20.12.2013 на сумму 42 500,00 руб. на период с 20.11.2013 по 31.12.2014;</w:t>
      </w:r>
    </w:p>
    <w:p w:rsidR="00B456F6" w:rsidRPr="00FC7DFE" w:rsidRDefault="00B456F6" w:rsidP="00B456F6">
      <w:pPr>
        <w:spacing w:line="264" w:lineRule="auto"/>
        <w:ind w:firstLine="426"/>
        <w:jc w:val="both"/>
        <w:rPr>
          <w:sz w:val="28"/>
          <w:szCs w:val="28"/>
        </w:rPr>
      </w:pPr>
      <w:r w:rsidRPr="00FC7DFE">
        <w:rPr>
          <w:sz w:val="28"/>
          <w:szCs w:val="28"/>
        </w:rPr>
        <w:t>- по муниципальному контракту № К15Ф2-6 от 20.12.2013 на сумму 88 800,00 руб. со сроком до 31.12.2015;</w:t>
      </w:r>
    </w:p>
    <w:p w:rsidR="00B456F6" w:rsidRPr="00FC7DFE" w:rsidRDefault="00B456F6" w:rsidP="00B456F6">
      <w:pPr>
        <w:pStyle w:val="ad"/>
        <w:numPr>
          <w:ilvl w:val="0"/>
          <w:numId w:val="2"/>
        </w:numPr>
        <w:spacing w:line="264" w:lineRule="auto"/>
        <w:ind w:left="0" w:firstLine="0"/>
        <w:jc w:val="both"/>
        <w:rPr>
          <w:sz w:val="28"/>
          <w:szCs w:val="28"/>
        </w:rPr>
      </w:pPr>
      <w:r w:rsidRPr="00FC7DFE">
        <w:rPr>
          <w:sz w:val="28"/>
          <w:szCs w:val="28"/>
        </w:rPr>
        <w:lastRenderedPageBreak/>
        <w:t>с ОАО «Производственная фирма «СКБ Контур» на предоставление права использования и абонентское обслуживание Системы «Контур-Экстерн»:</w:t>
      </w:r>
    </w:p>
    <w:p w:rsidR="00B456F6" w:rsidRPr="00FC7DFE" w:rsidRDefault="00B456F6" w:rsidP="00B456F6">
      <w:pPr>
        <w:spacing w:line="264" w:lineRule="auto"/>
        <w:ind w:firstLine="426"/>
        <w:jc w:val="both"/>
        <w:rPr>
          <w:sz w:val="28"/>
          <w:szCs w:val="28"/>
        </w:rPr>
      </w:pPr>
      <w:r w:rsidRPr="00FC7DFE">
        <w:rPr>
          <w:sz w:val="28"/>
          <w:szCs w:val="28"/>
        </w:rPr>
        <w:t>- по договору № 09251569/14  от 22.12.2014 на сумму 48 200,00 руб. со сроком до 31.12.2014;</w:t>
      </w:r>
    </w:p>
    <w:p w:rsidR="00B456F6" w:rsidRPr="00FC7DFE" w:rsidRDefault="00B456F6" w:rsidP="00B456F6">
      <w:pPr>
        <w:spacing w:line="264" w:lineRule="auto"/>
        <w:ind w:firstLine="426"/>
        <w:jc w:val="both"/>
        <w:rPr>
          <w:sz w:val="28"/>
          <w:szCs w:val="28"/>
        </w:rPr>
      </w:pPr>
      <w:r w:rsidRPr="00FC7DFE">
        <w:rPr>
          <w:sz w:val="28"/>
          <w:szCs w:val="28"/>
        </w:rPr>
        <w:t>- по договору № 09250919/15 от 28.10.2015 на сумму 26 000,00 руб. со сроком до 31.12.2015.</w:t>
      </w:r>
    </w:p>
    <w:p w:rsidR="00B456F6" w:rsidRPr="00FC7DFE" w:rsidRDefault="00B456F6" w:rsidP="00B456F6">
      <w:pPr>
        <w:jc w:val="both"/>
        <w:rPr>
          <w:iCs/>
          <w:sz w:val="28"/>
          <w:szCs w:val="28"/>
        </w:rPr>
      </w:pPr>
      <w:r w:rsidRPr="00FC7DFE">
        <w:rPr>
          <w:sz w:val="28"/>
          <w:szCs w:val="28"/>
        </w:rPr>
        <w:t xml:space="preserve">      Проверкой состояния бухгалтерского учета и отчетности, требований к ведению бухгалтерского учета в части обеспечения полноты и достоверности отражения в учете и отчете произведенных хозяйственных операций выполнялись МКУ ЦБ УО не в полном объеме.</w:t>
      </w:r>
    </w:p>
    <w:p w:rsidR="00B456F6" w:rsidRPr="00FC7DFE" w:rsidRDefault="00B456F6" w:rsidP="00B456F6">
      <w:pPr>
        <w:spacing w:line="264" w:lineRule="auto"/>
        <w:ind w:firstLine="426"/>
        <w:jc w:val="both"/>
        <w:rPr>
          <w:sz w:val="28"/>
          <w:szCs w:val="28"/>
          <w:lang w:eastAsia="en-US"/>
        </w:rPr>
      </w:pPr>
      <w:proofErr w:type="gramStart"/>
      <w:r w:rsidRPr="00FC7DFE">
        <w:rPr>
          <w:color w:val="000000"/>
          <w:sz w:val="28"/>
          <w:szCs w:val="28"/>
        </w:rPr>
        <w:t xml:space="preserve">Так, нарушение учета </w:t>
      </w:r>
      <w:r w:rsidRPr="00FC7DFE">
        <w:rPr>
          <w:sz w:val="28"/>
          <w:szCs w:val="28"/>
        </w:rPr>
        <w:t>неисключительных прав на использование программ для ЭВМ</w:t>
      </w:r>
      <w:r w:rsidRPr="00FC7DFE">
        <w:rPr>
          <w:color w:val="000000"/>
          <w:sz w:val="28"/>
          <w:szCs w:val="28"/>
        </w:rPr>
        <w:t xml:space="preserve"> привело </w:t>
      </w:r>
      <w:r w:rsidRPr="00FC7DFE">
        <w:rPr>
          <w:sz w:val="28"/>
          <w:szCs w:val="28"/>
        </w:rPr>
        <w:t xml:space="preserve">к нарушению пункта 1 статьи 13 Федерального закона </w:t>
      </w:r>
      <w:r w:rsidRPr="00FC7DFE">
        <w:rPr>
          <w:sz w:val="28"/>
          <w:szCs w:val="28"/>
          <w:lang w:eastAsia="en-US"/>
        </w:rPr>
        <w:t xml:space="preserve">от 06.12.2011 № 402-ФЗ </w:t>
      </w:r>
      <w:r w:rsidRPr="00FC7DFE">
        <w:rPr>
          <w:sz w:val="28"/>
          <w:szCs w:val="28"/>
        </w:rPr>
        <w:t>«О бухгалтерском учете», пунктов 7, 96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пунктов 66, 333 Инструкции № 157н.</w:t>
      </w:r>
      <w:proofErr w:type="gramEnd"/>
    </w:p>
    <w:p w:rsidR="00B456F6" w:rsidRPr="00FC7DFE" w:rsidRDefault="00B456F6" w:rsidP="00B456F6">
      <w:pPr>
        <w:spacing w:line="264" w:lineRule="auto"/>
        <w:ind w:firstLine="426"/>
        <w:jc w:val="both"/>
        <w:rPr>
          <w:sz w:val="28"/>
          <w:szCs w:val="28"/>
        </w:rPr>
      </w:pPr>
      <w:r w:rsidRPr="00FC7DFE">
        <w:rPr>
          <w:sz w:val="28"/>
          <w:szCs w:val="28"/>
        </w:rPr>
        <w:t xml:space="preserve"> </w:t>
      </w:r>
      <w:proofErr w:type="gramStart"/>
      <w:r w:rsidRPr="00FC7DFE">
        <w:rPr>
          <w:sz w:val="28"/>
          <w:szCs w:val="28"/>
        </w:rPr>
        <w:t xml:space="preserve">В «Справках о наличии имущества и обязательств на за балансовых счетах», являющихся приложением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01.01.2015, 01.01.2016 не отражена сумма </w:t>
      </w:r>
      <w:r w:rsidRPr="00FC7DFE">
        <w:rPr>
          <w:rFonts w:eastAsia="Calibri"/>
          <w:sz w:val="28"/>
          <w:szCs w:val="28"/>
          <w:lang w:eastAsia="en-US"/>
        </w:rPr>
        <w:t>имущества, полученного в пользование, а именно:</w:t>
      </w:r>
      <w:r w:rsidRPr="00FC7DFE">
        <w:rPr>
          <w:sz w:val="28"/>
          <w:szCs w:val="28"/>
        </w:rPr>
        <w:t xml:space="preserve"> неисключительных прав на использование программ для ЭВМ на общую сумму 205 500,00</w:t>
      </w:r>
      <w:proofErr w:type="gramEnd"/>
      <w:r w:rsidRPr="00FC7DFE">
        <w:rPr>
          <w:sz w:val="28"/>
          <w:szCs w:val="28"/>
        </w:rPr>
        <w:t xml:space="preserve"> руб., в том числе:</w:t>
      </w:r>
    </w:p>
    <w:p w:rsidR="00B456F6" w:rsidRPr="00FC7DFE" w:rsidRDefault="00B456F6" w:rsidP="00B456F6">
      <w:pPr>
        <w:spacing w:line="264" w:lineRule="auto"/>
        <w:ind w:firstLine="426"/>
        <w:jc w:val="both"/>
        <w:rPr>
          <w:sz w:val="28"/>
          <w:szCs w:val="28"/>
        </w:rPr>
      </w:pPr>
      <w:r w:rsidRPr="00FC7DFE">
        <w:rPr>
          <w:sz w:val="28"/>
          <w:szCs w:val="28"/>
        </w:rPr>
        <w:t>- на 01.01.2015 в общей сумме 90 700,00 руб.;</w:t>
      </w:r>
    </w:p>
    <w:p w:rsidR="00B456F6" w:rsidRPr="00FC7DFE" w:rsidRDefault="00B456F6" w:rsidP="00B456F6">
      <w:pPr>
        <w:spacing w:line="264" w:lineRule="auto"/>
        <w:ind w:firstLine="426"/>
        <w:jc w:val="both"/>
        <w:rPr>
          <w:sz w:val="28"/>
          <w:szCs w:val="28"/>
        </w:rPr>
      </w:pPr>
      <w:r w:rsidRPr="00FC7DFE">
        <w:rPr>
          <w:sz w:val="28"/>
          <w:szCs w:val="28"/>
        </w:rPr>
        <w:t>- на 01.01.2016 в общей сумме 114 800,00 руб.</w:t>
      </w:r>
    </w:p>
    <w:p w:rsidR="00B456F6" w:rsidRPr="00FC7DFE" w:rsidRDefault="00B456F6" w:rsidP="00B456F6">
      <w:pPr>
        <w:spacing w:line="264" w:lineRule="auto"/>
        <w:ind w:firstLine="426"/>
        <w:jc w:val="both"/>
        <w:rPr>
          <w:sz w:val="28"/>
          <w:szCs w:val="28"/>
        </w:rPr>
      </w:pPr>
      <w:proofErr w:type="gramStart"/>
      <w:r w:rsidRPr="00FC7DFE">
        <w:rPr>
          <w:sz w:val="28"/>
          <w:szCs w:val="28"/>
        </w:rPr>
        <w:t xml:space="preserve">Вышеуказанное привело </w:t>
      </w:r>
      <w:r w:rsidRPr="00FC7DFE">
        <w:rPr>
          <w:color w:val="000000"/>
          <w:sz w:val="28"/>
          <w:szCs w:val="28"/>
        </w:rPr>
        <w:t xml:space="preserve">к отражению недостоверных данных в бюджетной отчетности </w:t>
      </w:r>
      <w:r w:rsidRPr="00FC7DFE">
        <w:rPr>
          <w:sz w:val="28"/>
          <w:szCs w:val="28"/>
        </w:rPr>
        <w:t xml:space="preserve">МКУ ЦБ УО в части учета </w:t>
      </w:r>
      <w:r w:rsidRPr="00FC7DFE">
        <w:rPr>
          <w:rFonts w:eastAsia="Calibri"/>
          <w:sz w:val="28"/>
          <w:szCs w:val="28"/>
          <w:lang w:eastAsia="en-US"/>
        </w:rPr>
        <w:t>имущества, полученного в пользование</w:t>
      </w:r>
      <w:r w:rsidRPr="00FC7DFE">
        <w:rPr>
          <w:sz w:val="28"/>
          <w:szCs w:val="28"/>
        </w:rPr>
        <w:t>.</w:t>
      </w:r>
      <w:proofErr w:type="gramEnd"/>
    </w:p>
    <w:p w:rsidR="00FD0540" w:rsidRPr="00FC7DFE" w:rsidRDefault="00332E49" w:rsidP="00B456F6">
      <w:pPr>
        <w:spacing w:line="264" w:lineRule="auto"/>
        <w:jc w:val="both"/>
        <w:rPr>
          <w:b/>
          <w:sz w:val="28"/>
          <w:szCs w:val="28"/>
        </w:rPr>
      </w:pPr>
      <w:r w:rsidRPr="00FC7DFE">
        <w:rPr>
          <w:sz w:val="28"/>
          <w:szCs w:val="28"/>
        </w:rPr>
        <w:t xml:space="preserve">      </w:t>
      </w:r>
      <w:r w:rsidR="00FD0540" w:rsidRPr="00FC7DFE">
        <w:rPr>
          <w:sz w:val="28"/>
          <w:szCs w:val="28"/>
        </w:rPr>
        <w:t>Установленные  нарушения  недопустимы  и  должны  быть  устранены, а  поэтому  на  основании  изложенного, руководствуясь  статьёй 16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rsidR="00FD0540" w:rsidRDefault="00FD0540" w:rsidP="00FD0540">
      <w:pPr>
        <w:jc w:val="center"/>
        <w:rPr>
          <w:sz w:val="22"/>
          <w:szCs w:val="22"/>
        </w:rPr>
      </w:pPr>
    </w:p>
    <w:p w:rsidR="00FD0540" w:rsidRDefault="00FD0540" w:rsidP="00FD0540">
      <w:pPr>
        <w:jc w:val="center"/>
        <w:rPr>
          <w:sz w:val="24"/>
          <w:szCs w:val="24"/>
        </w:rPr>
      </w:pPr>
      <w:r>
        <w:rPr>
          <w:sz w:val="24"/>
          <w:szCs w:val="24"/>
        </w:rPr>
        <w:t>ПРЕДЛАГАЮ:</w:t>
      </w:r>
    </w:p>
    <w:p w:rsidR="00FD0540" w:rsidRDefault="00FD0540" w:rsidP="00FD0540">
      <w:pPr>
        <w:jc w:val="both"/>
        <w:rPr>
          <w:sz w:val="28"/>
          <w:szCs w:val="28"/>
        </w:rPr>
      </w:pPr>
    </w:p>
    <w:p w:rsidR="00FD0540" w:rsidRDefault="00FD0540" w:rsidP="00FD0540">
      <w:pPr>
        <w:jc w:val="both"/>
        <w:rPr>
          <w:sz w:val="28"/>
          <w:szCs w:val="28"/>
        </w:rPr>
      </w:pPr>
      <w:r>
        <w:rPr>
          <w:sz w:val="28"/>
          <w:szCs w:val="28"/>
        </w:rPr>
        <w:t xml:space="preserve">1.Безотлагательно  рассмотреть  настоящее  представление  и  обсудить  его  </w:t>
      </w:r>
      <w:proofErr w:type="gramStart"/>
      <w:r>
        <w:rPr>
          <w:sz w:val="28"/>
          <w:szCs w:val="28"/>
        </w:rPr>
        <w:t>на</w:t>
      </w:r>
      <w:proofErr w:type="gramEnd"/>
    </w:p>
    <w:p w:rsidR="00FD0540" w:rsidRDefault="00FD0540" w:rsidP="00FD0540">
      <w:pPr>
        <w:jc w:val="both"/>
        <w:rPr>
          <w:sz w:val="28"/>
          <w:szCs w:val="28"/>
        </w:rPr>
      </w:pPr>
      <w:proofErr w:type="gramStart"/>
      <w:r>
        <w:rPr>
          <w:sz w:val="28"/>
          <w:szCs w:val="28"/>
        </w:rPr>
        <w:t>совещании</w:t>
      </w:r>
      <w:proofErr w:type="gramEnd"/>
      <w:r>
        <w:rPr>
          <w:sz w:val="28"/>
          <w:szCs w:val="28"/>
        </w:rPr>
        <w:t>.</w:t>
      </w:r>
    </w:p>
    <w:p w:rsidR="00FD0540" w:rsidRDefault="00FD0540" w:rsidP="00FD0540">
      <w:pPr>
        <w:jc w:val="both"/>
        <w:rPr>
          <w:sz w:val="28"/>
          <w:szCs w:val="28"/>
        </w:rPr>
      </w:pPr>
      <w:r>
        <w:rPr>
          <w:sz w:val="28"/>
          <w:szCs w:val="28"/>
        </w:rPr>
        <w:t>2.Принять  все  необходимые  меры  для  устранения  и  недопущения  впредь</w:t>
      </w:r>
    </w:p>
    <w:p w:rsidR="00FD0540" w:rsidRDefault="00FD0540" w:rsidP="00FD0540">
      <w:pPr>
        <w:tabs>
          <w:tab w:val="left" w:pos="0"/>
        </w:tabs>
        <w:jc w:val="both"/>
        <w:rPr>
          <w:sz w:val="28"/>
          <w:szCs w:val="28"/>
        </w:rPr>
      </w:pPr>
      <w:r>
        <w:rPr>
          <w:sz w:val="28"/>
          <w:szCs w:val="28"/>
        </w:rPr>
        <w:t>выявленных нарушений, в том числе:</w:t>
      </w:r>
    </w:p>
    <w:p w:rsidR="00F14D2D" w:rsidRPr="008E00D5" w:rsidRDefault="00332E49" w:rsidP="00F14D2D">
      <w:pPr>
        <w:tabs>
          <w:tab w:val="left" w:pos="0"/>
        </w:tabs>
        <w:jc w:val="both"/>
        <w:rPr>
          <w:sz w:val="28"/>
          <w:szCs w:val="28"/>
        </w:rPr>
      </w:pPr>
      <w:r w:rsidRPr="008E00D5">
        <w:rPr>
          <w:sz w:val="28"/>
          <w:szCs w:val="28"/>
        </w:rPr>
        <w:lastRenderedPageBreak/>
        <w:t>-</w:t>
      </w:r>
      <w:r w:rsidR="00F14D2D" w:rsidRPr="008E00D5">
        <w:rPr>
          <w:sz w:val="28"/>
          <w:szCs w:val="28"/>
        </w:rPr>
        <w:t xml:space="preserve">провести </w:t>
      </w:r>
      <w:r w:rsidR="00B456F6">
        <w:rPr>
          <w:sz w:val="28"/>
          <w:szCs w:val="28"/>
        </w:rPr>
        <w:t xml:space="preserve">детальный </w:t>
      </w:r>
      <w:r w:rsidR="00F14D2D" w:rsidRPr="008E00D5">
        <w:rPr>
          <w:sz w:val="28"/>
          <w:szCs w:val="28"/>
        </w:rPr>
        <w:t>анализ выявленных К</w:t>
      </w:r>
      <w:r w:rsidR="00B456F6">
        <w:rPr>
          <w:sz w:val="28"/>
          <w:szCs w:val="28"/>
        </w:rPr>
        <w:t>онтрольно-счётной палатой Арсеньевского городского округа</w:t>
      </w:r>
      <w:r w:rsidR="00F14D2D" w:rsidRPr="008E00D5">
        <w:rPr>
          <w:sz w:val="28"/>
          <w:szCs w:val="28"/>
        </w:rPr>
        <w:t xml:space="preserve"> нарушений при проведении контрольного мероприятия;</w:t>
      </w:r>
      <w:bookmarkStart w:id="0" w:name="_GoBack"/>
      <w:bookmarkEnd w:id="0"/>
    </w:p>
    <w:p w:rsidR="00FC7DFE" w:rsidRPr="00D341C7" w:rsidRDefault="00FC7DFE" w:rsidP="00FC7DFE">
      <w:pPr>
        <w:tabs>
          <w:tab w:val="left" w:pos="0"/>
        </w:tabs>
        <w:jc w:val="both"/>
        <w:rPr>
          <w:sz w:val="28"/>
          <w:szCs w:val="28"/>
        </w:rPr>
      </w:pPr>
      <w:r w:rsidRPr="00D341C7">
        <w:rPr>
          <w:sz w:val="28"/>
          <w:szCs w:val="28"/>
        </w:rPr>
        <w:t>-вести учет имущества, полученного в пользование, в соответствии с действующим законодательством;</w:t>
      </w:r>
    </w:p>
    <w:p w:rsidR="00F14D2D" w:rsidRPr="008E00D5" w:rsidRDefault="00F14D2D" w:rsidP="00F14D2D">
      <w:pPr>
        <w:autoSpaceDE w:val="0"/>
        <w:autoSpaceDN w:val="0"/>
        <w:adjustRightInd w:val="0"/>
        <w:jc w:val="both"/>
        <w:rPr>
          <w:bCs/>
          <w:sz w:val="28"/>
          <w:szCs w:val="28"/>
        </w:rPr>
      </w:pPr>
      <w:r w:rsidRPr="008E00D5">
        <w:rPr>
          <w:sz w:val="28"/>
          <w:szCs w:val="28"/>
        </w:rPr>
        <w:t xml:space="preserve">-привлечь к дисциплинарной ответственности виновных должностных лиц за допущенные </w:t>
      </w:r>
      <w:r w:rsidR="00FC7DFE">
        <w:rPr>
          <w:sz w:val="28"/>
          <w:szCs w:val="28"/>
        </w:rPr>
        <w:t xml:space="preserve">ими </w:t>
      </w:r>
      <w:r w:rsidRPr="008E00D5">
        <w:rPr>
          <w:sz w:val="28"/>
          <w:szCs w:val="28"/>
        </w:rPr>
        <w:t xml:space="preserve">нарушения </w:t>
      </w:r>
      <w:r w:rsidR="00FC7DFE">
        <w:rPr>
          <w:sz w:val="28"/>
          <w:szCs w:val="28"/>
        </w:rPr>
        <w:t>и ненадлежащее исполнение своих</w:t>
      </w:r>
      <w:r w:rsidRPr="008E00D5">
        <w:rPr>
          <w:sz w:val="28"/>
          <w:szCs w:val="28"/>
        </w:rPr>
        <w:t xml:space="preserve"> обязанностей</w:t>
      </w:r>
      <w:r w:rsidR="00FC7DFE">
        <w:rPr>
          <w:sz w:val="28"/>
          <w:szCs w:val="28"/>
        </w:rPr>
        <w:t>.</w:t>
      </w:r>
    </w:p>
    <w:p w:rsidR="00FD0540" w:rsidRDefault="00FD0540" w:rsidP="00F14D2D">
      <w:pPr>
        <w:autoSpaceDE w:val="0"/>
        <w:autoSpaceDN w:val="0"/>
        <w:adjustRightInd w:val="0"/>
        <w:jc w:val="both"/>
        <w:rPr>
          <w:sz w:val="28"/>
          <w:szCs w:val="28"/>
        </w:rPr>
      </w:pPr>
      <w:r>
        <w:rPr>
          <w:sz w:val="28"/>
          <w:szCs w:val="28"/>
        </w:rPr>
        <w:t xml:space="preserve">      В  течение  месяца  со  дня  получения  Представления  уведомить  в  письменной  форме  Контрольно-счётную  палату  о  принятых  по  результатам  рассмотрения  представления  решениях  и  мерах.</w:t>
      </w:r>
    </w:p>
    <w:p w:rsidR="000B5A91" w:rsidRDefault="000B5A91" w:rsidP="00962EF4">
      <w:pPr>
        <w:pStyle w:val="a4"/>
        <w:tabs>
          <w:tab w:val="left" w:pos="7938"/>
        </w:tabs>
        <w:ind w:firstLine="709"/>
        <w:jc w:val="both"/>
        <w:rPr>
          <w:b w:val="0"/>
          <w:szCs w:val="28"/>
        </w:rPr>
      </w:pPr>
    </w:p>
    <w:p w:rsidR="000B5A91" w:rsidRDefault="000B5A91" w:rsidP="00962EF4">
      <w:pPr>
        <w:pStyle w:val="a4"/>
        <w:tabs>
          <w:tab w:val="left" w:pos="7938"/>
        </w:tabs>
        <w:ind w:firstLine="709"/>
        <w:jc w:val="both"/>
        <w:rPr>
          <w:b w:val="0"/>
          <w:szCs w:val="28"/>
        </w:rPr>
      </w:pPr>
    </w:p>
    <w:p w:rsidR="00F14D2D" w:rsidRDefault="00F14D2D" w:rsidP="008172EB">
      <w:pPr>
        <w:tabs>
          <w:tab w:val="left" w:pos="0"/>
        </w:tabs>
        <w:jc w:val="both"/>
        <w:rPr>
          <w:sz w:val="26"/>
          <w:szCs w:val="26"/>
        </w:rPr>
      </w:pPr>
    </w:p>
    <w:p w:rsidR="00F14D2D" w:rsidRDefault="00F14D2D" w:rsidP="008172EB">
      <w:pPr>
        <w:tabs>
          <w:tab w:val="left" w:pos="0"/>
        </w:tabs>
        <w:jc w:val="both"/>
        <w:rPr>
          <w:sz w:val="26"/>
          <w:szCs w:val="26"/>
        </w:rPr>
      </w:pPr>
    </w:p>
    <w:p w:rsidR="000B5A91" w:rsidRDefault="000B5A91" w:rsidP="000B5A91">
      <w:pPr>
        <w:pStyle w:val="a4"/>
        <w:tabs>
          <w:tab w:val="left" w:pos="7938"/>
        </w:tabs>
        <w:jc w:val="both"/>
        <w:rPr>
          <w:b w:val="0"/>
          <w:szCs w:val="28"/>
        </w:rPr>
      </w:pPr>
      <w:r>
        <w:rPr>
          <w:b w:val="0"/>
          <w:szCs w:val="28"/>
        </w:rPr>
        <w:t>Председатель</w:t>
      </w:r>
    </w:p>
    <w:p w:rsidR="000B5A91" w:rsidRDefault="000B5A91" w:rsidP="000B5A91">
      <w:pPr>
        <w:pStyle w:val="a4"/>
        <w:tabs>
          <w:tab w:val="left" w:pos="7938"/>
        </w:tabs>
        <w:jc w:val="both"/>
        <w:rPr>
          <w:b w:val="0"/>
          <w:szCs w:val="28"/>
        </w:rPr>
      </w:pPr>
      <w:r>
        <w:rPr>
          <w:b w:val="0"/>
          <w:szCs w:val="28"/>
        </w:rPr>
        <w:t xml:space="preserve">Контрольно-счётной палаты </w:t>
      </w:r>
    </w:p>
    <w:p w:rsidR="006E0F38" w:rsidRDefault="000B5A91" w:rsidP="000B5A91">
      <w:pPr>
        <w:pStyle w:val="a4"/>
        <w:tabs>
          <w:tab w:val="left" w:pos="7938"/>
        </w:tabs>
        <w:jc w:val="both"/>
        <w:rPr>
          <w:b w:val="0"/>
          <w:szCs w:val="28"/>
        </w:rPr>
      </w:pPr>
      <w:r>
        <w:rPr>
          <w:b w:val="0"/>
          <w:szCs w:val="28"/>
        </w:rPr>
        <w:t>Арсеньевского городского округа                                                          Н.А. Скорик</w:t>
      </w:r>
    </w:p>
    <w:p w:rsidR="000B5A91" w:rsidRPr="00856615" w:rsidRDefault="000B5A91" w:rsidP="000B5A91">
      <w:pPr>
        <w:pStyle w:val="a4"/>
        <w:tabs>
          <w:tab w:val="left" w:pos="7938"/>
        </w:tabs>
        <w:jc w:val="both"/>
        <w:rPr>
          <w:b w:val="0"/>
          <w:szCs w:val="28"/>
        </w:rPr>
      </w:pPr>
    </w:p>
    <w:sectPr w:rsidR="000B5A91" w:rsidRPr="00856615" w:rsidSect="006E0F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851" w:bottom="1135" w:left="1418" w:header="29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B7" w:rsidRDefault="00486BB7" w:rsidP="003A687D">
      <w:r>
        <w:separator/>
      </w:r>
    </w:p>
  </w:endnote>
  <w:endnote w:type="continuationSeparator" w:id="0">
    <w:p w:rsidR="00486BB7" w:rsidRDefault="00486BB7" w:rsidP="003A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B7" w:rsidRDefault="00486BB7" w:rsidP="003A687D">
      <w:r>
        <w:separator/>
      </w:r>
    </w:p>
  </w:footnote>
  <w:footnote w:type="continuationSeparator" w:id="0">
    <w:p w:rsidR="00486BB7" w:rsidRDefault="00486BB7" w:rsidP="003A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84" w:rsidRDefault="00151E84">
    <w:pPr>
      <w:pStyle w:val="a8"/>
      <w:rPr>
        <w:noProof/>
        <w:color w:val="000000"/>
        <w:sz w:val="32"/>
        <w:vertAlign w:val="subscript"/>
      </w:rPr>
    </w:pPr>
    <w:r>
      <w:rPr>
        <w:noProof/>
        <w:color w:val="000000"/>
        <w:sz w:val="32"/>
        <w:vertAlign w:val="subscript"/>
      </w:rPr>
      <w:t xml:space="preserve">                             </w:t>
    </w:r>
    <w:r w:rsidR="00743F30">
      <w:rPr>
        <w:noProof/>
        <w:color w:val="000000"/>
        <w:sz w:val="32"/>
        <w:vertAlign w:val="subscript"/>
      </w:rPr>
      <w:t xml:space="preserve"> </w:t>
    </w:r>
    <w:r>
      <w:rPr>
        <w:noProof/>
        <w:color w:val="000000"/>
        <w:sz w:val="32"/>
        <w:vertAlign w:val="subscript"/>
      </w:rPr>
      <w:t xml:space="preserve">  </w:t>
    </w:r>
    <w:r w:rsidR="00FD0540">
      <w:rPr>
        <w:noProof/>
        <w:color w:val="000000"/>
        <w:sz w:val="32"/>
        <w:vertAlign w:val="subscript"/>
      </w:rPr>
      <w:drawing>
        <wp:inline distT="0" distB="0" distL="0" distR="0">
          <wp:extent cx="600075" cy="75247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151E84" w:rsidRDefault="00151E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1">
    <w:nsid w:val="4CF04C94"/>
    <w:multiLevelType w:val="hybridMultilevel"/>
    <w:tmpl w:val="ABE03D1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40"/>
    <w:rsid w:val="0001185B"/>
    <w:rsid w:val="0001330F"/>
    <w:rsid w:val="00057441"/>
    <w:rsid w:val="00061597"/>
    <w:rsid w:val="000862D3"/>
    <w:rsid w:val="000902F5"/>
    <w:rsid w:val="00091CD1"/>
    <w:rsid w:val="000B5A91"/>
    <w:rsid w:val="000B750E"/>
    <w:rsid w:val="000E5716"/>
    <w:rsid w:val="000F091F"/>
    <w:rsid w:val="001066CF"/>
    <w:rsid w:val="00110CF2"/>
    <w:rsid w:val="0011435C"/>
    <w:rsid w:val="00121773"/>
    <w:rsid w:val="00125E3F"/>
    <w:rsid w:val="00135B15"/>
    <w:rsid w:val="00144A96"/>
    <w:rsid w:val="00151E84"/>
    <w:rsid w:val="00174907"/>
    <w:rsid w:val="001C149D"/>
    <w:rsid w:val="001E09E6"/>
    <w:rsid w:val="001F76EB"/>
    <w:rsid w:val="0021259B"/>
    <w:rsid w:val="0022638F"/>
    <w:rsid w:val="0023446D"/>
    <w:rsid w:val="0024418A"/>
    <w:rsid w:val="002569EB"/>
    <w:rsid w:val="00283B18"/>
    <w:rsid w:val="00293233"/>
    <w:rsid w:val="00296588"/>
    <w:rsid w:val="002E41C0"/>
    <w:rsid w:val="002F5A54"/>
    <w:rsid w:val="0030322C"/>
    <w:rsid w:val="00315F55"/>
    <w:rsid w:val="00332E49"/>
    <w:rsid w:val="00334554"/>
    <w:rsid w:val="00347B5E"/>
    <w:rsid w:val="0036064B"/>
    <w:rsid w:val="003823EB"/>
    <w:rsid w:val="00382B8F"/>
    <w:rsid w:val="00394990"/>
    <w:rsid w:val="003A687D"/>
    <w:rsid w:val="003C3F39"/>
    <w:rsid w:val="003C7FC8"/>
    <w:rsid w:val="003D007C"/>
    <w:rsid w:val="003D0A34"/>
    <w:rsid w:val="003D5A4D"/>
    <w:rsid w:val="003F4799"/>
    <w:rsid w:val="00406503"/>
    <w:rsid w:val="00422ADD"/>
    <w:rsid w:val="00430267"/>
    <w:rsid w:val="00430CC8"/>
    <w:rsid w:val="00433E34"/>
    <w:rsid w:val="00450D6E"/>
    <w:rsid w:val="0045264A"/>
    <w:rsid w:val="0045764C"/>
    <w:rsid w:val="0046645D"/>
    <w:rsid w:val="00480087"/>
    <w:rsid w:val="00485969"/>
    <w:rsid w:val="00486BB7"/>
    <w:rsid w:val="004E2283"/>
    <w:rsid w:val="004F03B2"/>
    <w:rsid w:val="004F16D3"/>
    <w:rsid w:val="005069CF"/>
    <w:rsid w:val="00507F72"/>
    <w:rsid w:val="00523FFF"/>
    <w:rsid w:val="00525AF7"/>
    <w:rsid w:val="00527911"/>
    <w:rsid w:val="00532CBE"/>
    <w:rsid w:val="005332C5"/>
    <w:rsid w:val="00537E74"/>
    <w:rsid w:val="00554B86"/>
    <w:rsid w:val="005613AB"/>
    <w:rsid w:val="00591729"/>
    <w:rsid w:val="005A0539"/>
    <w:rsid w:val="005A09A1"/>
    <w:rsid w:val="005A36B9"/>
    <w:rsid w:val="005A3C33"/>
    <w:rsid w:val="005B7DE3"/>
    <w:rsid w:val="005C356E"/>
    <w:rsid w:val="005D1E41"/>
    <w:rsid w:val="005D731F"/>
    <w:rsid w:val="005F53C7"/>
    <w:rsid w:val="00602CDA"/>
    <w:rsid w:val="00611D40"/>
    <w:rsid w:val="00634CF2"/>
    <w:rsid w:val="0063692D"/>
    <w:rsid w:val="006477DF"/>
    <w:rsid w:val="00652874"/>
    <w:rsid w:val="00654F11"/>
    <w:rsid w:val="0066464E"/>
    <w:rsid w:val="00666CB2"/>
    <w:rsid w:val="0068485B"/>
    <w:rsid w:val="00685006"/>
    <w:rsid w:val="00692F92"/>
    <w:rsid w:val="006A360A"/>
    <w:rsid w:val="006B1E55"/>
    <w:rsid w:val="006C49B3"/>
    <w:rsid w:val="006E0F38"/>
    <w:rsid w:val="006E5C5D"/>
    <w:rsid w:val="006F04B9"/>
    <w:rsid w:val="00704317"/>
    <w:rsid w:val="00743F30"/>
    <w:rsid w:val="007532BB"/>
    <w:rsid w:val="007624B6"/>
    <w:rsid w:val="0077662F"/>
    <w:rsid w:val="00796734"/>
    <w:rsid w:val="007B44BC"/>
    <w:rsid w:val="007C35C1"/>
    <w:rsid w:val="007D000D"/>
    <w:rsid w:val="007E1F85"/>
    <w:rsid w:val="007E3A93"/>
    <w:rsid w:val="007F11DF"/>
    <w:rsid w:val="00814D23"/>
    <w:rsid w:val="008172EB"/>
    <w:rsid w:val="00817B98"/>
    <w:rsid w:val="00827222"/>
    <w:rsid w:val="00830DE8"/>
    <w:rsid w:val="00847897"/>
    <w:rsid w:val="008511C0"/>
    <w:rsid w:val="00853A1A"/>
    <w:rsid w:val="00856615"/>
    <w:rsid w:val="008668B2"/>
    <w:rsid w:val="008737CE"/>
    <w:rsid w:val="008A28A6"/>
    <w:rsid w:val="008A7033"/>
    <w:rsid w:val="008E00D5"/>
    <w:rsid w:val="0090296B"/>
    <w:rsid w:val="00905BD0"/>
    <w:rsid w:val="00962EF4"/>
    <w:rsid w:val="009734FE"/>
    <w:rsid w:val="00985EA9"/>
    <w:rsid w:val="009A279A"/>
    <w:rsid w:val="009B7DAE"/>
    <w:rsid w:val="009C7D88"/>
    <w:rsid w:val="009D42F0"/>
    <w:rsid w:val="009E370E"/>
    <w:rsid w:val="009F390B"/>
    <w:rsid w:val="00A16593"/>
    <w:rsid w:val="00A23FB2"/>
    <w:rsid w:val="00A2445C"/>
    <w:rsid w:val="00A30442"/>
    <w:rsid w:val="00A42EC3"/>
    <w:rsid w:val="00A47833"/>
    <w:rsid w:val="00A506DF"/>
    <w:rsid w:val="00A636EE"/>
    <w:rsid w:val="00A7228D"/>
    <w:rsid w:val="00A742A8"/>
    <w:rsid w:val="00A76527"/>
    <w:rsid w:val="00A96AE4"/>
    <w:rsid w:val="00AA4131"/>
    <w:rsid w:val="00AA5A80"/>
    <w:rsid w:val="00AE0960"/>
    <w:rsid w:val="00B20EF6"/>
    <w:rsid w:val="00B41446"/>
    <w:rsid w:val="00B41450"/>
    <w:rsid w:val="00B456F6"/>
    <w:rsid w:val="00B47658"/>
    <w:rsid w:val="00B70F85"/>
    <w:rsid w:val="00B82A11"/>
    <w:rsid w:val="00BE340B"/>
    <w:rsid w:val="00BE37C6"/>
    <w:rsid w:val="00C03397"/>
    <w:rsid w:val="00C0799F"/>
    <w:rsid w:val="00C22A54"/>
    <w:rsid w:val="00C305BA"/>
    <w:rsid w:val="00C30D30"/>
    <w:rsid w:val="00C31053"/>
    <w:rsid w:val="00C411F5"/>
    <w:rsid w:val="00C82005"/>
    <w:rsid w:val="00C84E3A"/>
    <w:rsid w:val="00CA70E3"/>
    <w:rsid w:val="00CA7180"/>
    <w:rsid w:val="00CD40FF"/>
    <w:rsid w:val="00CD69F2"/>
    <w:rsid w:val="00CE470D"/>
    <w:rsid w:val="00CE4DD4"/>
    <w:rsid w:val="00CE6FD2"/>
    <w:rsid w:val="00D1433D"/>
    <w:rsid w:val="00D3249D"/>
    <w:rsid w:val="00D341C7"/>
    <w:rsid w:val="00D4625A"/>
    <w:rsid w:val="00D50862"/>
    <w:rsid w:val="00D51D8F"/>
    <w:rsid w:val="00D51E36"/>
    <w:rsid w:val="00D578A5"/>
    <w:rsid w:val="00D86AF5"/>
    <w:rsid w:val="00D91BA2"/>
    <w:rsid w:val="00DD1EC0"/>
    <w:rsid w:val="00DE45F1"/>
    <w:rsid w:val="00E44F0E"/>
    <w:rsid w:val="00E51339"/>
    <w:rsid w:val="00E52C2D"/>
    <w:rsid w:val="00E61DE6"/>
    <w:rsid w:val="00E80907"/>
    <w:rsid w:val="00E91284"/>
    <w:rsid w:val="00EA69F1"/>
    <w:rsid w:val="00ED6EDC"/>
    <w:rsid w:val="00EE2161"/>
    <w:rsid w:val="00EF39C1"/>
    <w:rsid w:val="00F02FBA"/>
    <w:rsid w:val="00F0408A"/>
    <w:rsid w:val="00F14D2D"/>
    <w:rsid w:val="00F15B0B"/>
    <w:rsid w:val="00F20EAC"/>
    <w:rsid w:val="00F37D49"/>
    <w:rsid w:val="00F5168E"/>
    <w:rsid w:val="00F554D6"/>
    <w:rsid w:val="00F84574"/>
    <w:rsid w:val="00F86FD1"/>
    <w:rsid w:val="00FA4EA4"/>
    <w:rsid w:val="00FB6EFA"/>
    <w:rsid w:val="00FC7D9E"/>
    <w:rsid w:val="00FC7DFE"/>
    <w:rsid w:val="00FD0540"/>
    <w:rsid w:val="00FD3C0A"/>
    <w:rsid w:val="00FD501A"/>
    <w:rsid w:val="00FE7A11"/>
    <w:rsid w:val="00F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character" w:customStyle="1" w:styleId="a5">
    <w:name w:val="Основной текст Знак"/>
    <w:link w:val="a4"/>
    <w:rsid w:val="00FD0540"/>
    <w:rPr>
      <w:b/>
      <w:sz w:val="28"/>
    </w:rPr>
  </w:style>
  <w:style w:type="paragraph" w:customStyle="1" w:styleId="ConsPlusNormal">
    <w:name w:val="ConsPlusNormal"/>
    <w:rsid w:val="00FD0540"/>
    <w:pPr>
      <w:widowControl w:val="0"/>
      <w:autoSpaceDE w:val="0"/>
      <w:autoSpaceDN w:val="0"/>
      <w:adjustRightInd w:val="0"/>
      <w:ind w:firstLine="720"/>
    </w:pPr>
    <w:rPr>
      <w:rFonts w:ascii="Arial" w:hAnsi="Arial" w:cs="Arial"/>
    </w:rPr>
  </w:style>
  <w:style w:type="paragraph" w:styleId="ac">
    <w:name w:val="No Spacing"/>
    <w:uiPriority w:val="99"/>
    <w:qFormat/>
    <w:rsid w:val="00C82005"/>
    <w:rPr>
      <w:sz w:val="24"/>
      <w:szCs w:val="24"/>
    </w:rPr>
  </w:style>
  <w:style w:type="paragraph" w:customStyle="1" w:styleId="ConsNormal">
    <w:name w:val="ConsNormal"/>
    <w:uiPriority w:val="99"/>
    <w:rsid w:val="00B456F6"/>
    <w:pPr>
      <w:widowControl w:val="0"/>
      <w:autoSpaceDE w:val="0"/>
      <w:autoSpaceDN w:val="0"/>
      <w:adjustRightInd w:val="0"/>
      <w:ind w:right="19772" w:firstLine="720"/>
    </w:pPr>
    <w:rPr>
      <w:rFonts w:ascii="Arial" w:hAnsi="Arial" w:cs="Arial"/>
      <w:sz w:val="18"/>
      <w:szCs w:val="18"/>
    </w:rPr>
  </w:style>
  <w:style w:type="paragraph" w:styleId="ad">
    <w:name w:val="List Paragraph"/>
    <w:basedOn w:val="a"/>
    <w:uiPriority w:val="34"/>
    <w:qFormat/>
    <w:rsid w:val="00B456F6"/>
    <w:pPr>
      <w:widowControl/>
      <w:suppressAutoHyphens/>
      <w:ind w:left="720"/>
      <w:contextualSpacing/>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character" w:customStyle="1" w:styleId="a5">
    <w:name w:val="Основной текст Знак"/>
    <w:link w:val="a4"/>
    <w:rsid w:val="00FD0540"/>
    <w:rPr>
      <w:b/>
      <w:sz w:val="28"/>
    </w:rPr>
  </w:style>
  <w:style w:type="paragraph" w:customStyle="1" w:styleId="ConsPlusNormal">
    <w:name w:val="ConsPlusNormal"/>
    <w:rsid w:val="00FD0540"/>
    <w:pPr>
      <w:widowControl w:val="0"/>
      <w:autoSpaceDE w:val="0"/>
      <w:autoSpaceDN w:val="0"/>
      <w:adjustRightInd w:val="0"/>
      <w:ind w:firstLine="720"/>
    </w:pPr>
    <w:rPr>
      <w:rFonts w:ascii="Arial" w:hAnsi="Arial" w:cs="Arial"/>
    </w:rPr>
  </w:style>
  <w:style w:type="paragraph" w:styleId="ac">
    <w:name w:val="No Spacing"/>
    <w:uiPriority w:val="99"/>
    <w:qFormat/>
    <w:rsid w:val="00C82005"/>
    <w:rPr>
      <w:sz w:val="24"/>
      <w:szCs w:val="24"/>
    </w:rPr>
  </w:style>
  <w:style w:type="paragraph" w:customStyle="1" w:styleId="ConsNormal">
    <w:name w:val="ConsNormal"/>
    <w:uiPriority w:val="99"/>
    <w:rsid w:val="00B456F6"/>
    <w:pPr>
      <w:widowControl w:val="0"/>
      <w:autoSpaceDE w:val="0"/>
      <w:autoSpaceDN w:val="0"/>
      <w:adjustRightInd w:val="0"/>
      <w:ind w:right="19772" w:firstLine="720"/>
    </w:pPr>
    <w:rPr>
      <w:rFonts w:ascii="Arial" w:hAnsi="Arial" w:cs="Arial"/>
      <w:sz w:val="18"/>
      <w:szCs w:val="18"/>
    </w:rPr>
  </w:style>
  <w:style w:type="paragraph" w:styleId="ad">
    <w:name w:val="List Paragraph"/>
    <w:basedOn w:val="a"/>
    <w:uiPriority w:val="34"/>
    <w:qFormat/>
    <w:rsid w:val="00B456F6"/>
    <w:pPr>
      <w:widowControl/>
      <w:suppressAutoHyphens/>
      <w:ind w:left="720"/>
      <w:contextualSpacing/>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37D41AF4098D686A9DB9650DD49D4D834668E527FCB107C4BA0E828BFDB358FD52B57FA290DEBD3c0A6B"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esktop\&#1041;&#1083;&#1072;&#1085;&#1082;&#1080;%20&#1050;&#1057;&#1055;\&#1041;&#1083;&#1072;&#1085;&#1082;-&#1059;&#1075;&#1083;&#1086;&#1074;&#1086;&#1081;%20&#1050;&#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0611-B6B2-4C98-9EAD-788D7EF2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 КСП</Template>
  <TotalTime>0</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2013-07-22T23:58:00Z</cp:lastPrinted>
  <dcterms:created xsi:type="dcterms:W3CDTF">2016-05-30T03:48:00Z</dcterms:created>
  <dcterms:modified xsi:type="dcterms:W3CDTF">2016-05-30T03:48:00Z</dcterms:modified>
</cp:coreProperties>
</file>