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7" w:type="dxa"/>
        <w:tblInd w:w="10" w:type="dxa"/>
        <w:tblLayout w:type="fixed"/>
        <w:tblLook w:val="0000" w:firstRow="0" w:lastRow="0" w:firstColumn="0" w:lastColumn="0" w:noHBand="0" w:noVBand="0"/>
      </w:tblPr>
      <w:tblGrid>
        <w:gridCol w:w="4532"/>
        <w:gridCol w:w="715"/>
        <w:gridCol w:w="4690"/>
      </w:tblGrid>
      <w:tr w:rsidR="003D0A34" w:rsidRPr="00A30442" w:rsidTr="006E0F38">
        <w:trPr>
          <w:cantSplit/>
          <w:trHeight w:val="1248"/>
        </w:trPr>
        <w:tc>
          <w:tcPr>
            <w:tcW w:w="4532" w:type="dxa"/>
            <w:vMerge w:val="restart"/>
          </w:tcPr>
          <w:p w:rsidR="00296588" w:rsidRDefault="00A7228D" w:rsidP="0011435C">
            <w:pPr>
              <w:ind w:left="-94" w:right="-122"/>
              <w:jc w:val="center"/>
              <w:rPr>
                <w:b/>
                <w:spacing w:val="20"/>
                <w:sz w:val="22"/>
                <w:szCs w:val="22"/>
              </w:rPr>
            </w:pPr>
            <w:r w:rsidRPr="00A47833">
              <w:rPr>
                <w:b/>
                <w:spacing w:val="20"/>
                <w:sz w:val="22"/>
                <w:szCs w:val="22"/>
              </w:rPr>
              <w:t>КОНТРОЛЬНО-СЧЕТНАЯ ПАЛАТА</w:t>
            </w:r>
          </w:p>
          <w:p w:rsidR="00FD3C0A" w:rsidRPr="00A47833" w:rsidRDefault="00A7228D" w:rsidP="0011435C">
            <w:pPr>
              <w:ind w:left="-94" w:right="-122"/>
              <w:jc w:val="center"/>
              <w:rPr>
                <w:b/>
                <w:spacing w:val="20"/>
                <w:sz w:val="22"/>
                <w:szCs w:val="22"/>
              </w:rPr>
            </w:pPr>
            <w:r w:rsidRPr="00A47833">
              <w:rPr>
                <w:b/>
                <w:spacing w:val="20"/>
                <w:sz w:val="22"/>
                <w:szCs w:val="22"/>
              </w:rPr>
              <w:t>АРСЕНЬЕВСКОГО</w:t>
            </w:r>
          </w:p>
          <w:p w:rsidR="003D0A34" w:rsidRPr="00A47833" w:rsidRDefault="00A7228D" w:rsidP="0011435C">
            <w:pPr>
              <w:ind w:left="-94" w:right="-122"/>
              <w:jc w:val="center"/>
              <w:rPr>
                <w:b/>
                <w:spacing w:val="20"/>
                <w:sz w:val="22"/>
                <w:szCs w:val="22"/>
              </w:rPr>
            </w:pPr>
            <w:r w:rsidRPr="00A47833">
              <w:rPr>
                <w:b/>
                <w:spacing w:val="20"/>
                <w:sz w:val="22"/>
                <w:szCs w:val="22"/>
              </w:rPr>
              <w:t>ГОРОДСКОГО ОКРУГА</w:t>
            </w:r>
          </w:p>
          <w:p w:rsidR="003D0A34" w:rsidRDefault="003D0A34" w:rsidP="00FA4EA4">
            <w:pPr>
              <w:ind w:left="-94"/>
              <w:jc w:val="center"/>
              <w:rPr>
                <w:sz w:val="10"/>
              </w:rPr>
            </w:pPr>
          </w:p>
          <w:p w:rsidR="006E5C5D" w:rsidRDefault="006E5C5D" w:rsidP="0011435C">
            <w:pPr>
              <w:jc w:val="center"/>
              <w:rPr>
                <w:sz w:val="22"/>
                <w:szCs w:val="22"/>
              </w:rPr>
            </w:pPr>
            <w:r>
              <w:rPr>
                <w:sz w:val="22"/>
                <w:szCs w:val="22"/>
                <w:lang w:val="de-DE"/>
              </w:rPr>
              <w:fldChar w:fldCharType="begin">
                <w:ffData>
                  <w:name w:val=""/>
                  <w:enabled w:val="0"/>
                  <w:calcOnExit w:val="0"/>
                  <w:textInput>
                    <w:default w:val="692337, г. Арсеньев, ул. Ленинская, 8                     тел/факс (42361) 3-04-97, 4-37-75"/>
                  </w:textInput>
                </w:ffData>
              </w:fldChar>
            </w:r>
            <w:r>
              <w:rPr>
                <w:sz w:val="22"/>
                <w:szCs w:val="22"/>
                <w:lang w:val="de-DE"/>
              </w:rPr>
              <w:instrText xml:space="preserve"> FORMTEXT </w:instrText>
            </w:r>
            <w:r>
              <w:rPr>
                <w:sz w:val="22"/>
                <w:szCs w:val="22"/>
                <w:lang w:val="de-DE"/>
              </w:rPr>
            </w:r>
            <w:r>
              <w:rPr>
                <w:sz w:val="22"/>
                <w:szCs w:val="22"/>
                <w:lang w:val="de-DE"/>
              </w:rPr>
              <w:fldChar w:fldCharType="separate"/>
            </w:r>
            <w:r>
              <w:rPr>
                <w:noProof/>
                <w:sz w:val="22"/>
                <w:szCs w:val="22"/>
                <w:lang w:val="de-DE"/>
              </w:rPr>
              <w:t>692337, г. Арсеньев, ул. Ленинская, 8                     тел/факс (42361) 3-04-97, 4-37-75</w:t>
            </w:r>
            <w:r>
              <w:rPr>
                <w:sz w:val="22"/>
                <w:szCs w:val="22"/>
                <w:lang w:val="de-DE"/>
              </w:rPr>
              <w:fldChar w:fldCharType="end"/>
            </w:r>
          </w:p>
          <w:p w:rsidR="00450D6E" w:rsidRPr="00450D6E" w:rsidRDefault="003A687D" w:rsidP="003A687D">
            <w:pPr>
              <w:rPr>
                <w:sz w:val="22"/>
                <w:szCs w:val="22"/>
              </w:rPr>
            </w:pPr>
            <w:r>
              <w:rPr>
                <w:sz w:val="22"/>
                <w:szCs w:val="22"/>
              </w:rPr>
              <w:t xml:space="preserve">        </w:t>
            </w:r>
            <w:r w:rsidR="00450D6E">
              <w:rPr>
                <w:sz w:val="22"/>
                <w:szCs w:val="22"/>
              </w:rPr>
              <w:t xml:space="preserve">от </w:t>
            </w:r>
            <w:r w:rsidR="00710CA7">
              <w:rPr>
                <w:sz w:val="22"/>
                <w:szCs w:val="22"/>
              </w:rPr>
              <w:t xml:space="preserve"> </w:t>
            </w:r>
            <w:r w:rsidR="00450D6E">
              <w:rPr>
                <w:sz w:val="22"/>
                <w:szCs w:val="22"/>
              </w:rPr>
              <w:t xml:space="preserve">«   </w:t>
            </w:r>
            <w:r w:rsidR="003823EB">
              <w:rPr>
                <w:sz w:val="22"/>
                <w:szCs w:val="22"/>
              </w:rPr>
              <w:t xml:space="preserve"> </w:t>
            </w:r>
            <w:r w:rsidR="00710CA7">
              <w:rPr>
                <w:sz w:val="22"/>
                <w:szCs w:val="22"/>
              </w:rPr>
              <w:t xml:space="preserve">     </w:t>
            </w:r>
            <w:r w:rsidR="003823EB">
              <w:rPr>
                <w:sz w:val="22"/>
                <w:szCs w:val="22"/>
              </w:rPr>
              <w:t xml:space="preserve"> </w:t>
            </w:r>
            <w:r w:rsidR="00450D6E">
              <w:rPr>
                <w:sz w:val="22"/>
                <w:szCs w:val="22"/>
              </w:rPr>
              <w:t xml:space="preserve">   »   </w:t>
            </w:r>
            <w:r w:rsidR="0011435C">
              <w:rPr>
                <w:sz w:val="22"/>
                <w:szCs w:val="22"/>
              </w:rPr>
              <w:t xml:space="preserve">   </w:t>
            </w:r>
            <w:r>
              <w:rPr>
                <w:sz w:val="22"/>
                <w:szCs w:val="22"/>
              </w:rPr>
              <w:t xml:space="preserve">  </w:t>
            </w:r>
            <w:r w:rsidR="0011435C">
              <w:rPr>
                <w:sz w:val="22"/>
                <w:szCs w:val="22"/>
              </w:rPr>
              <w:t xml:space="preserve">  </w:t>
            </w:r>
            <w:r w:rsidR="00710CA7">
              <w:rPr>
                <w:sz w:val="22"/>
                <w:szCs w:val="22"/>
              </w:rPr>
              <w:t xml:space="preserve">       </w:t>
            </w:r>
            <w:r w:rsidR="0011435C">
              <w:rPr>
                <w:sz w:val="22"/>
                <w:szCs w:val="22"/>
              </w:rPr>
              <w:t xml:space="preserve">   </w:t>
            </w:r>
            <w:r w:rsidR="00450D6E">
              <w:rPr>
                <w:sz w:val="22"/>
                <w:szCs w:val="22"/>
              </w:rPr>
              <w:t xml:space="preserve">  </w:t>
            </w:r>
            <w:r w:rsidR="0011435C">
              <w:rPr>
                <w:sz w:val="22"/>
                <w:szCs w:val="22"/>
              </w:rPr>
              <w:t xml:space="preserve">    </w:t>
            </w:r>
            <w:r w:rsidR="00450D6E">
              <w:rPr>
                <w:sz w:val="22"/>
                <w:szCs w:val="22"/>
              </w:rPr>
              <w:t xml:space="preserve"> 201</w:t>
            </w:r>
            <w:r w:rsidR="0011435C">
              <w:rPr>
                <w:sz w:val="22"/>
                <w:szCs w:val="22"/>
              </w:rPr>
              <w:t xml:space="preserve"> </w:t>
            </w:r>
            <w:r w:rsidR="00450D6E">
              <w:rPr>
                <w:sz w:val="22"/>
                <w:szCs w:val="22"/>
              </w:rPr>
              <w:t xml:space="preserve">    г.  №</w:t>
            </w:r>
            <w:r w:rsidR="0011435C">
              <w:rPr>
                <w:sz w:val="22"/>
                <w:szCs w:val="22"/>
              </w:rPr>
              <w:t xml:space="preserve">   </w:t>
            </w:r>
          </w:p>
          <w:p w:rsidR="0023446D" w:rsidRPr="00347B5E" w:rsidRDefault="0023446D" w:rsidP="0023446D">
            <w:pPr>
              <w:ind w:left="-96"/>
              <w:jc w:val="center"/>
              <w:rPr>
                <w:lang w:val="de-DE"/>
              </w:rPr>
            </w:pPr>
          </w:p>
        </w:tc>
        <w:tc>
          <w:tcPr>
            <w:tcW w:w="715" w:type="dxa"/>
            <w:vMerge w:val="restart"/>
          </w:tcPr>
          <w:p w:rsidR="003D0A34" w:rsidRPr="00A30442" w:rsidRDefault="003D0A34">
            <w:pPr>
              <w:jc w:val="center"/>
              <w:rPr>
                <w:sz w:val="26"/>
                <w:lang w:val="de-DE"/>
              </w:rPr>
            </w:pPr>
          </w:p>
        </w:tc>
        <w:tc>
          <w:tcPr>
            <w:tcW w:w="4690" w:type="dxa"/>
          </w:tcPr>
          <w:p w:rsidR="003D0A34" w:rsidRDefault="001B6E5B" w:rsidP="003A687D">
            <w:pPr>
              <w:rPr>
                <w:sz w:val="28"/>
                <w:szCs w:val="28"/>
              </w:rPr>
            </w:pPr>
            <w:r>
              <w:rPr>
                <w:sz w:val="28"/>
                <w:szCs w:val="28"/>
              </w:rPr>
              <w:t>Главе</w:t>
            </w:r>
          </w:p>
          <w:p w:rsidR="00710CA7" w:rsidRDefault="00710CA7" w:rsidP="003A687D">
            <w:pPr>
              <w:rPr>
                <w:sz w:val="28"/>
                <w:szCs w:val="28"/>
              </w:rPr>
            </w:pPr>
            <w:r>
              <w:rPr>
                <w:sz w:val="28"/>
                <w:szCs w:val="28"/>
              </w:rPr>
              <w:t>А</w:t>
            </w:r>
            <w:r w:rsidR="001B6E5B">
              <w:rPr>
                <w:sz w:val="28"/>
                <w:szCs w:val="28"/>
              </w:rPr>
              <w:t>рсеньевского городского округа</w:t>
            </w:r>
          </w:p>
          <w:p w:rsidR="00710CA7" w:rsidRDefault="00710CA7" w:rsidP="003A687D">
            <w:pPr>
              <w:rPr>
                <w:sz w:val="28"/>
                <w:szCs w:val="28"/>
              </w:rPr>
            </w:pPr>
          </w:p>
          <w:p w:rsidR="00710CA7" w:rsidRPr="00710CA7" w:rsidRDefault="001B6E5B" w:rsidP="001B6E5B">
            <w:pPr>
              <w:rPr>
                <w:sz w:val="28"/>
                <w:szCs w:val="28"/>
              </w:rPr>
            </w:pPr>
            <w:r>
              <w:rPr>
                <w:sz w:val="28"/>
                <w:szCs w:val="28"/>
              </w:rPr>
              <w:t>Дронину А.А.</w:t>
            </w:r>
          </w:p>
        </w:tc>
      </w:tr>
      <w:tr w:rsidR="0046645D" w:rsidRPr="00A30442" w:rsidTr="006E0F38">
        <w:trPr>
          <w:cantSplit/>
          <w:trHeight w:val="1262"/>
        </w:trPr>
        <w:tc>
          <w:tcPr>
            <w:tcW w:w="4532" w:type="dxa"/>
            <w:vMerge/>
          </w:tcPr>
          <w:p w:rsidR="0046645D" w:rsidRPr="00A30442" w:rsidRDefault="0046645D">
            <w:pPr>
              <w:jc w:val="center"/>
              <w:rPr>
                <w:noProof/>
                <w:lang w:val="de-DE"/>
              </w:rPr>
            </w:pPr>
          </w:p>
        </w:tc>
        <w:tc>
          <w:tcPr>
            <w:tcW w:w="715" w:type="dxa"/>
            <w:vMerge/>
          </w:tcPr>
          <w:p w:rsidR="0046645D" w:rsidRPr="00A30442" w:rsidRDefault="0046645D">
            <w:pPr>
              <w:jc w:val="center"/>
              <w:rPr>
                <w:sz w:val="26"/>
                <w:lang w:val="de-DE"/>
              </w:rPr>
            </w:pPr>
          </w:p>
        </w:tc>
        <w:tc>
          <w:tcPr>
            <w:tcW w:w="4690" w:type="dxa"/>
          </w:tcPr>
          <w:p w:rsidR="00AE0960" w:rsidRDefault="00AE0960" w:rsidP="00283B18">
            <w:pPr>
              <w:ind w:left="-108"/>
              <w:rPr>
                <w:sz w:val="28"/>
                <w:szCs w:val="28"/>
              </w:rPr>
            </w:pPr>
          </w:p>
          <w:p w:rsidR="00AE0960" w:rsidRDefault="00AE0960" w:rsidP="00283B18">
            <w:pPr>
              <w:ind w:left="-108"/>
              <w:rPr>
                <w:sz w:val="28"/>
                <w:szCs w:val="28"/>
              </w:rPr>
            </w:pPr>
          </w:p>
          <w:p w:rsidR="00AE0960" w:rsidRDefault="00AE0960" w:rsidP="00283B18">
            <w:pPr>
              <w:ind w:left="-108"/>
              <w:rPr>
                <w:sz w:val="28"/>
                <w:szCs w:val="28"/>
              </w:rPr>
            </w:pPr>
          </w:p>
          <w:p w:rsidR="00AE0960" w:rsidRPr="00283B18" w:rsidRDefault="00AE0960" w:rsidP="00283B18">
            <w:pPr>
              <w:ind w:left="-108"/>
              <w:rPr>
                <w:sz w:val="28"/>
                <w:szCs w:val="28"/>
              </w:rPr>
            </w:pPr>
          </w:p>
        </w:tc>
      </w:tr>
    </w:tbl>
    <w:p w:rsidR="003D0A34" w:rsidRDefault="00375A1E" w:rsidP="00375A1E">
      <w:pPr>
        <w:pStyle w:val="a4"/>
        <w:tabs>
          <w:tab w:val="left" w:pos="8080"/>
        </w:tabs>
        <w:jc w:val="left"/>
        <w:rPr>
          <w:b w:val="0"/>
          <w:szCs w:val="28"/>
        </w:rPr>
      </w:pPr>
      <w:r>
        <w:rPr>
          <w:b w:val="0"/>
          <w:szCs w:val="28"/>
        </w:rPr>
        <w:t>Представление</w:t>
      </w:r>
    </w:p>
    <w:p w:rsidR="00375A1E" w:rsidRDefault="00375A1E" w:rsidP="00375A1E">
      <w:pPr>
        <w:pStyle w:val="a4"/>
        <w:tabs>
          <w:tab w:val="left" w:pos="8080"/>
        </w:tabs>
        <w:jc w:val="left"/>
        <w:rPr>
          <w:b w:val="0"/>
          <w:szCs w:val="28"/>
        </w:rPr>
      </w:pPr>
      <w:r>
        <w:rPr>
          <w:b w:val="0"/>
          <w:szCs w:val="28"/>
        </w:rPr>
        <w:t xml:space="preserve">«О нарушениях </w:t>
      </w:r>
      <w:proofErr w:type="gramStart"/>
      <w:r>
        <w:rPr>
          <w:b w:val="0"/>
          <w:szCs w:val="28"/>
        </w:rPr>
        <w:t>бюджетного</w:t>
      </w:r>
      <w:proofErr w:type="gramEnd"/>
      <w:r>
        <w:rPr>
          <w:b w:val="0"/>
          <w:szCs w:val="28"/>
        </w:rPr>
        <w:t xml:space="preserve">, </w:t>
      </w:r>
    </w:p>
    <w:p w:rsidR="00375A1E" w:rsidRPr="00856615" w:rsidRDefault="00375A1E" w:rsidP="00375A1E">
      <w:pPr>
        <w:pStyle w:val="a4"/>
        <w:tabs>
          <w:tab w:val="left" w:pos="8080"/>
        </w:tabs>
        <w:jc w:val="left"/>
        <w:rPr>
          <w:b w:val="0"/>
          <w:szCs w:val="28"/>
        </w:rPr>
      </w:pPr>
      <w:r>
        <w:rPr>
          <w:b w:val="0"/>
          <w:szCs w:val="28"/>
        </w:rPr>
        <w:t>финансового и иного законодательства»</w:t>
      </w:r>
    </w:p>
    <w:p w:rsidR="000B5A91" w:rsidRDefault="000B5A91" w:rsidP="00962EF4">
      <w:pPr>
        <w:pStyle w:val="a4"/>
        <w:tabs>
          <w:tab w:val="left" w:pos="7938"/>
        </w:tabs>
        <w:ind w:firstLine="709"/>
        <w:jc w:val="both"/>
        <w:rPr>
          <w:b w:val="0"/>
          <w:szCs w:val="28"/>
        </w:rPr>
      </w:pPr>
    </w:p>
    <w:p w:rsidR="004B2A3E" w:rsidRPr="008456A6" w:rsidRDefault="00F34D15" w:rsidP="004B2A3E">
      <w:pPr>
        <w:pStyle w:val="ac"/>
        <w:spacing w:line="264" w:lineRule="auto"/>
        <w:jc w:val="both"/>
        <w:rPr>
          <w:sz w:val="28"/>
          <w:szCs w:val="28"/>
        </w:rPr>
      </w:pPr>
      <w:r>
        <w:rPr>
          <w:sz w:val="26"/>
          <w:szCs w:val="26"/>
        </w:rPr>
        <w:t xml:space="preserve">       </w:t>
      </w:r>
      <w:r w:rsidR="004B2A3E" w:rsidRPr="008456A6">
        <w:rPr>
          <w:sz w:val="28"/>
          <w:szCs w:val="28"/>
        </w:rPr>
        <w:t>Основанием для проведения контрольного мероприятия (</w:t>
      </w:r>
      <w:r w:rsidR="004B2A3E" w:rsidRPr="008456A6">
        <w:rPr>
          <w:bCs/>
          <w:sz w:val="28"/>
          <w:szCs w:val="28"/>
        </w:rPr>
        <w:t>аудита в сфере закупок</w:t>
      </w:r>
      <w:r w:rsidR="004B2A3E" w:rsidRPr="008456A6">
        <w:rPr>
          <w:sz w:val="28"/>
          <w:szCs w:val="28"/>
        </w:rPr>
        <w:t>) явился пункт 5 плана проведения контрольных мероприятий Контрольно-счетной палаты Арсеньевского городского округа на четвертый квартал 2015 года.</w:t>
      </w:r>
    </w:p>
    <w:p w:rsidR="004B2A3E" w:rsidRPr="008456A6" w:rsidRDefault="004B2A3E" w:rsidP="004B2A3E">
      <w:pPr>
        <w:pStyle w:val="a4"/>
        <w:spacing w:line="264" w:lineRule="auto"/>
        <w:jc w:val="both"/>
        <w:rPr>
          <w:b w:val="0"/>
          <w:szCs w:val="28"/>
        </w:rPr>
      </w:pPr>
      <w:r w:rsidRPr="008456A6">
        <w:rPr>
          <w:b w:val="0"/>
          <w:szCs w:val="28"/>
        </w:rPr>
        <w:t xml:space="preserve">       </w:t>
      </w:r>
      <w:proofErr w:type="gramStart"/>
      <w:r w:rsidRPr="008456A6">
        <w:rPr>
          <w:b w:val="0"/>
          <w:szCs w:val="28"/>
        </w:rPr>
        <w:t>Предметом контрольного мероприятия (</w:t>
      </w:r>
      <w:r w:rsidRPr="008456A6">
        <w:rPr>
          <w:b w:val="0"/>
          <w:bCs/>
          <w:szCs w:val="28"/>
        </w:rPr>
        <w:t>аудита в сфере закупок</w:t>
      </w:r>
      <w:r w:rsidRPr="008456A6">
        <w:rPr>
          <w:b w:val="0"/>
          <w:szCs w:val="28"/>
        </w:rPr>
        <w:t>) явились планы закупок, планы-графики, конкурсная документация, муниципальные контракты, договоры, данные регистров бухгалтерского учёта, иные документы, а объектом проведения контрольного мероприятия (</w:t>
      </w:r>
      <w:r w:rsidRPr="008456A6">
        <w:rPr>
          <w:b w:val="0"/>
          <w:bCs/>
          <w:szCs w:val="28"/>
        </w:rPr>
        <w:t>аудита в сфере закупок</w:t>
      </w:r>
      <w:r w:rsidRPr="008456A6">
        <w:rPr>
          <w:b w:val="0"/>
          <w:szCs w:val="28"/>
        </w:rPr>
        <w:t xml:space="preserve">)  муниципальное </w:t>
      </w:r>
      <w:r w:rsidRPr="008456A6">
        <w:rPr>
          <w:b w:val="0"/>
          <w:bCs/>
          <w:szCs w:val="28"/>
        </w:rPr>
        <w:t>образовательное</w:t>
      </w:r>
      <w:r w:rsidRPr="008456A6">
        <w:rPr>
          <w:b w:val="0"/>
          <w:szCs w:val="28"/>
        </w:rPr>
        <w:t xml:space="preserve"> бюджетное учреждение дополнительного образования «Центр внешкольной работы» </w:t>
      </w:r>
      <w:r w:rsidRPr="008456A6">
        <w:rPr>
          <w:b w:val="0"/>
          <w:bCs/>
          <w:szCs w:val="28"/>
        </w:rPr>
        <w:t>Арсеньевского городского округа</w:t>
      </w:r>
      <w:r w:rsidRPr="008456A6">
        <w:rPr>
          <w:b w:val="0"/>
          <w:szCs w:val="28"/>
        </w:rPr>
        <w:t xml:space="preserve"> (далее – МОБУ «ЦВР»), созданное на основании постановления главы администрации г. Арсеньева от 26.01.1993 № 36 . </w:t>
      </w:r>
      <w:proofErr w:type="gramEnd"/>
    </w:p>
    <w:p w:rsidR="004B2A3E" w:rsidRPr="008456A6" w:rsidRDefault="004B2A3E" w:rsidP="004B2A3E">
      <w:pPr>
        <w:pStyle w:val="a4"/>
        <w:spacing w:line="264" w:lineRule="auto"/>
        <w:ind w:firstLine="426"/>
        <w:jc w:val="both"/>
        <w:rPr>
          <w:b w:val="0"/>
          <w:szCs w:val="28"/>
        </w:rPr>
      </w:pPr>
      <w:r w:rsidRPr="008456A6">
        <w:rPr>
          <w:b w:val="0"/>
          <w:szCs w:val="28"/>
        </w:rPr>
        <w:t xml:space="preserve">МОБУ «ЦВР» ведет образовательную деятельность на основании лицензии на </w:t>
      </w:r>
      <w:proofErr w:type="gramStart"/>
      <w:r w:rsidRPr="008456A6">
        <w:rPr>
          <w:b w:val="0"/>
          <w:szCs w:val="28"/>
        </w:rPr>
        <w:t>право ведения</w:t>
      </w:r>
      <w:proofErr w:type="gramEnd"/>
      <w:r w:rsidRPr="008456A6">
        <w:rPr>
          <w:b w:val="0"/>
          <w:szCs w:val="28"/>
        </w:rPr>
        <w:t xml:space="preserve"> образовательной деятельности, выданной департаментом образования и науки Приморского края 05.06.2015 за регистрационным номером 694-а (серия 25ЛО1 № 00000845), со сроком действия – бессрочно.</w:t>
      </w:r>
    </w:p>
    <w:p w:rsidR="004B2A3E" w:rsidRPr="008456A6" w:rsidRDefault="004B2A3E" w:rsidP="004B2A3E">
      <w:pPr>
        <w:spacing w:line="264" w:lineRule="auto"/>
        <w:ind w:firstLine="426"/>
        <w:jc w:val="both"/>
        <w:outlineLvl w:val="1"/>
        <w:rPr>
          <w:sz w:val="28"/>
          <w:szCs w:val="28"/>
        </w:rPr>
      </w:pPr>
      <w:r w:rsidRPr="008456A6">
        <w:rPr>
          <w:sz w:val="28"/>
          <w:szCs w:val="28"/>
        </w:rPr>
        <w:t>В проверяемом периоде право первой подписи денежных и расчетных документов имела директор МОБУ «ЦВР» Серенко И.Г.</w:t>
      </w:r>
    </w:p>
    <w:p w:rsidR="004B2A3E" w:rsidRPr="008456A6" w:rsidRDefault="004B2A3E" w:rsidP="004B2A3E">
      <w:pPr>
        <w:spacing w:line="264" w:lineRule="auto"/>
        <w:ind w:firstLine="426"/>
        <w:jc w:val="both"/>
        <w:rPr>
          <w:sz w:val="28"/>
          <w:szCs w:val="28"/>
        </w:rPr>
      </w:pPr>
      <w:r w:rsidRPr="008456A6">
        <w:rPr>
          <w:sz w:val="28"/>
          <w:szCs w:val="28"/>
        </w:rPr>
        <w:t>Для ведения бухгалтерского и налогового учета финансово-хозяйственной деятельности учреждения между директором МОБУ «ЦВР» и директором муниципального казенного учреждения «Централизованная бухгалтерия управлении образования» Арсеньевского городского округа (далее – МКУ «Централизованная бухгалтерия») заключен договор на финансовое обслуживание с правом подписи финансовых документов.</w:t>
      </w:r>
    </w:p>
    <w:p w:rsidR="004B2A3E" w:rsidRPr="008456A6" w:rsidRDefault="004B2A3E" w:rsidP="004B2A3E">
      <w:pPr>
        <w:spacing w:line="264" w:lineRule="auto"/>
        <w:ind w:firstLine="426"/>
        <w:jc w:val="both"/>
        <w:rPr>
          <w:sz w:val="28"/>
          <w:szCs w:val="28"/>
        </w:rPr>
      </w:pPr>
      <w:r w:rsidRPr="008456A6">
        <w:rPr>
          <w:sz w:val="28"/>
          <w:szCs w:val="28"/>
        </w:rPr>
        <w:t>В проверяемом периоде директором МКУ «Централизованная бухгалтерия» являлась Л.В.</w:t>
      </w:r>
      <w:r w:rsidR="00E920BD" w:rsidRPr="008456A6">
        <w:rPr>
          <w:sz w:val="28"/>
          <w:szCs w:val="28"/>
        </w:rPr>
        <w:t xml:space="preserve"> </w:t>
      </w:r>
      <w:r w:rsidRPr="008456A6">
        <w:rPr>
          <w:sz w:val="28"/>
          <w:szCs w:val="28"/>
        </w:rPr>
        <w:t xml:space="preserve">Соколова, главным бухгалтером в 2014 году – Г.Н. Фокина, в 2015 году - В.В. </w:t>
      </w:r>
      <w:proofErr w:type="spellStart"/>
      <w:r w:rsidRPr="008456A6">
        <w:rPr>
          <w:sz w:val="28"/>
          <w:szCs w:val="28"/>
        </w:rPr>
        <w:t>Балута</w:t>
      </w:r>
      <w:proofErr w:type="spellEnd"/>
      <w:r w:rsidRPr="008456A6">
        <w:rPr>
          <w:sz w:val="28"/>
          <w:szCs w:val="28"/>
        </w:rPr>
        <w:t xml:space="preserve">. </w:t>
      </w:r>
    </w:p>
    <w:p w:rsidR="004B2A3E" w:rsidRPr="008456A6" w:rsidRDefault="004B2A3E" w:rsidP="004B2A3E">
      <w:pPr>
        <w:pStyle w:val="a4"/>
        <w:spacing w:line="264" w:lineRule="auto"/>
        <w:ind w:firstLine="360"/>
        <w:jc w:val="both"/>
        <w:rPr>
          <w:b w:val="0"/>
          <w:szCs w:val="28"/>
        </w:rPr>
      </w:pPr>
      <w:r w:rsidRPr="008456A6">
        <w:rPr>
          <w:b w:val="0"/>
          <w:szCs w:val="28"/>
        </w:rPr>
        <w:lastRenderedPageBreak/>
        <w:t>Источниками финансирования расходов МОБУ «ЦВР» в проверяемом периоде являлись средства бюджета городского округа в виде субсидий, целевые</w:t>
      </w:r>
      <w:r w:rsidRPr="008456A6">
        <w:rPr>
          <w:szCs w:val="28"/>
        </w:rPr>
        <w:t xml:space="preserve"> </w:t>
      </w:r>
      <w:r w:rsidRPr="008456A6">
        <w:rPr>
          <w:b w:val="0"/>
          <w:szCs w:val="28"/>
        </w:rPr>
        <w:t>субсидии и доходы, полученные учреждением от приносящей доход деятельности.</w:t>
      </w:r>
    </w:p>
    <w:p w:rsidR="004B2A3E" w:rsidRPr="008456A6" w:rsidRDefault="004B2A3E" w:rsidP="004B2A3E">
      <w:pPr>
        <w:spacing w:line="264" w:lineRule="auto"/>
        <w:ind w:firstLine="426"/>
        <w:jc w:val="both"/>
        <w:rPr>
          <w:sz w:val="28"/>
          <w:szCs w:val="28"/>
          <w:highlight w:val="yellow"/>
        </w:rPr>
      </w:pPr>
      <w:r w:rsidRPr="008456A6">
        <w:rPr>
          <w:sz w:val="28"/>
          <w:szCs w:val="28"/>
        </w:rPr>
        <w:t xml:space="preserve">Согласно отчетным данным МОБУ «ЦВР» за 2014 год кассовое исполнение финансового обеспечения составило 36 112 728,58 руб., что составляет 92,2% от плановых назначений, из них: субсидии из бюджета городского округа – в сумме </w:t>
      </w:r>
      <w:r w:rsidR="008456A6">
        <w:rPr>
          <w:sz w:val="28"/>
          <w:szCs w:val="28"/>
        </w:rPr>
        <w:t xml:space="preserve"> </w:t>
      </w:r>
      <w:r w:rsidRPr="008456A6">
        <w:rPr>
          <w:sz w:val="28"/>
          <w:szCs w:val="28"/>
        </w:rPr>
        <w:t xml:space="preserve">30 929 883,97 руб. (92,3% от плановых назначений); целевые субсидии </w:t>
      </w:r>
      <w:proofErr w:type="gramStart"/>
      <w:r w:rsidRPr="008456A6">
        <w:rPr>
          <w:sz w:val="28"/>
          <w:szCs w:val="28"/>
        </w:rPr>
        <w:t>–в</w:t>
      </w:r>
      <w:proofErr w:type="gramEnd"/>
      <w:r w:rsidR="008456A6">
        <w:rPr>
          <w:sz w:val="28"/>
          <w:szCs w:val="28"/>
        </w:rPr>
        <w:t xml:space="preserve"> </w:t>
      </w:r>
      <w:r w:rsidRPr="008456A6">
        <w:rPr>
          <w:sz w:val="28"/>
          <w:szCs w:val="28"/>
        </w:rPr>
        <w:t>сумме  2 507 450,13 руб. (91,3% от плановых назначений); поступления от оказания учреждением платных услуг – в сумме 2 675 394,48 руб. (91,1% от плановых назначений).</w:t>
      </w:r>
    </w:p>
    <w:p w:rsidR="004B2A3E" w:rsidRPr="008456A6" w:rsidRDefault="004B2A3E" w:rsidP="004B2A3E">
      <w:pPr>
        <w:spacing w:line="264" w:lineRule="auto"/>
        <w:ind w:firstLine="426"/>
        <w:jc w:val="both"/>
        <w:rPr>
          <w:sz w:val="28"/>
          <w:szCs w:val="28"/>
        </w:rPr>
      </w:pPr>
      <w:r w:rsidRPr="008456A6">
        <w:rPr>
          <w:sz w:val="28"/>
          <w:szCs w:val="28"/>
        </w:rPr>
        <w:t>Согласно отчетным данным МОБУ «ЦВР» кассовое исполнение   финансового обеспечения по состоянию на 01.12.2015 составило в общей сумме 29 522 961,58  руб.  руб., т.е. 71,3% от плановых годовых  назначений, из них: субсидии из бюджета городского округа - в сумме  22 497 983,99 руб. (67,8% от плановых годовых назначений); целевые субсидии – в сумме  составили 4 214 098,59 руб. (т.е. 77,8% от плановых назначений); поступления от оказания учреждением платных услуг – в сумме 2 810 879,00 руб. (99,4% от плановых назначений).</w:t>
      </w:r>
    </w:p>
    <w:p w:rsidR="004B2A3E" w:rsidRPr="008456A6" w:rsidRDefault="004B2A3E" w:rsidP="004B2A3E">
      <w:pPr>
        <w:spacing w:line="264" w:lineRule="auto"/>
        <w:ind w:firstLine="425"/>
        <w:jc w:val="both"/>
        <w:rPr>
          <w:sz w:val="28"/>
          <w:szCs w:val="28"/>
        </w:rPr>
      </w:pPr>
      <w:r w:rsidRPr="008456A6">
        <w:rPr>
          <w:color w:val="222222"/>
          <w:sz w:val="28"/>
          <w:szCs w:val="28"/>
        </w:rPr>
        <w:t xml:space="preserve">Во исполнение требований пункта 2 статьи 38 Закона № 44-ФЗ </w:t>
      </w:r>
      <w:r w:rsidRPr="008456A6">
        <w:rPr>
          <w:sz w:val="28"/>
          <w:szCs w:val="28"/>
        </w:rPr>
        <w:t>приказом начальника управления образования Арсеньевского городского округа от 30.03.2014 № 62-а обязанности контрактного управляющего, ответственного за осуществление закупок, возложены на директора МОБУ «ЦВР» И.Г. Серенко.</w:t>
      </w:r>
    </w:p>
    <w:p w:rsidR="004B2A3E" w:rsidRPr="008456A6" w:rsidRDefault="004B2A3E" w:rsidP="004B2A3E">
      <w:pPr>
        <w:shd w:val="clear" w:color="auto" w:fill="FFFFFF"/>
        <w:spacing w:line="264" w:lineRule="auto"/>
        <w:ind w:firstLine="426"/>
        <w:jc w:val="both"/>
        <w:rPr>
          <w:sz w:val="28"/>
          <w:szCs w:val="28"/>
        </w:rPr>
      </w:pPr>
      <w:r w:rsidRPr="008456A6">
        <w:rPr>
          <w:color w:val="222222"/>
          <w:sz w:val="28"/>
          <w:szCs w:val="28"/>
        </w:rPr>
        <w:t xml:space="preserve">В соответствии с частью 6 статьи 38 Закона № 44-ФЗ в апреле 2014 года </w:t>
      </w:r>
      <w:r w:rsidRPr="008456A6">
        <w:rPr>
          <w:sz w:val="28"/>
          <w:szCs w:val="28"/>
        </w:rPr>
        <w:t>директором МОБУ «ЦВР» И.Г.</w:t>
      </w:r>
      <w:r w:rsidR="00F34D15" w:rsidRPr="008456A6">
        <w:rPr>
          <w:sz w:val="28"/>
          <w:szCs w:val="28"/>
        </w:rPr>
        <w:t xml:space="preserve"> </w:t>
      </w:r>
      <w:r w:rsidRPr="008456A6">
        <w:rPr>
          <w:sz w:val="28"/>
          <w:szCs w:val="28"/>
        </w:rPr>
        <w:t>Серенко</w:t>
      </w:r>
      <w:r w:rsidRPr="008456A6">
        <w:rPr>
          <w:color w:val="222222"/>
          <w:sz w:val="28"/>
          <w:szCs w:val="28"/>
        </w:rPr>
        <w:t xml:space="preserve"> пройдено </w:t>
      </w:r>
      <w:r w:rsidRPr="008456A6">
        <w:rPr>
          <w:sz w:val="28"/>
          <w:szCs w:val="28"/>
        </w:rPr>
        <w:t>обучение (повышении квалификации) по программе «Контрактная система в сфере закупок товаров, работ и услуг». Осуществление полномочий контрактного управляющего определено должностной инструкцией.</w:t>
      </w:r>
    </w:p>
    <w:p w:rsidR="004B2A3E" w:rsidRPr="008456A6" w:rsidRDefault="004B2A3E" w:rsidP="00F34D15">
      <w:pPr>
        <w:pStyle w:val="ConsPlusNormal"/>
        <w:spacing w:line="264" w:lineRule="auto"/>
        <w:ind w:firstLine="0"/>
        <w:jc w:val="both"/>
        <w:rPr>
          <w:rFonts w:ascii="Times New Roman" w:hAnsi="Times New Roman" w:cs="Times New Roman"/>
          <w:color w:val="000000"/>
          <w:sz w:val="28"/>
          <w:szCs w:val="28"/>
        </w:rPr>
      </w:pPr>
      <w:r w:rsidRPr="008456A6">
        <w:rPr>
          <w:rFonts w:ascii="Times New Roman" w:hAnsi="Times New Roman" w:cs="Times New Roman"/>
          <w:sz w:val="28"/>
          <w:szCs w:val="28"/>
        </w:rPr>
        <w:t xml:space="preserve">      </w:t>
      </w:r>
      <w:r w:rsidRPr="008456A6">
        <w:rPr>
          <w:rFonts w:ascii="Times New Roman" w:hAnsi="Times New Roman" w:cs="Times New Roman"/>
          <w:color w:val="222222"/>
          <w:sz w:val="28"/>
          <w:szCs w:val="28"/>
        </w:rPr>
        <w:t xml:space="preserve">Проверкой своевременности размещения Плана - графика в 2014 году </w:t>
      </w:r>
      <w:r w:rsidRPr="008456A6">
        <w:rPr>
          <w:rFonts w:ascii="Times New Roman" w:hAnsi="Times New Roman" w:cs="Times New Roman"/>
          <w:sz w:val="28"/>
          <w:szCs w:val="28"/>
        </w:rPr>
        <w:t>на официальном сайте</w:t>
      </w:r>
      <w:r w:rsidRPr="008456A6">
        <w:rPr>
          <w:rFonts w:ascii="Times New Roman" w:hAnsi="Times New Roman" w:cs="Times New Roman"/>
          <w:color w:val="222222"/>
          <w:sz w:val="28"/>
          <w:szCs w:val="28"/>
        </w:rPr>
        <w:t xml:space="preserve"> установлено, что в нарушение пункта 2 </w:t>
      </w:r>
      <w:r w:rsidRPr="008456A6">
        <w:rPr>
          <w:rFonts w:ascii="Times New Roman" w:hAnsi="Times New Roman" w:cs="Times New Roman"/>
          <w:sz w:val="28"/>
          <w:szCs w:val="28"/>
        </w:rPr>
        <w:t xml:space="preserve">Особенностей размещения МОБУ «ЦВР» </w:t>
      </w:r>
      <w:r w:rsidRPr="008456A6">
        <w:rPr>
          <w:rFonts w:ascii="Times New Roman" w:hAnsi="Times New Roman" w:cs="Times New Roman"/>
          <w:sz w:val="28"/>
          <w:szCs w:val="28"/>
          <w:lang w:eastAsia="en-US"/>
        </w:rPr>
        <w:t xml:space="preserve"> разместило </w:t>
      </w:r>
      <w:r w:rsidRPr="008456A6">
        <w:rPr>
          <w:rFonts w:ascii="Times New Roman" w:hAnsi="Times New Roman" w:cs="Times New Roman"/>
          <w:sz w:val="28"/>
          <w:szCs w:val="28"/>
        </w:rPr>
        <w:t>на официальном сайте План - график на 2014 год не по истечении</w:t>
      </w:r>
      <w:r w:rsidRPr="008456A6">
        <w:rPr>
          <w:rFonts w:ascii="Times New Roman" w:hAnsi="Times New Roman" w:cs="Times New Roman"/>
          <w:color w:val="000000"/>
          <w:sz w:val="28"/>
          <w:szCs w:val="28"/>
        </w:rPr>
        <w:t xml:space="preserve"> одного календарного месяца после принятия закона (решения) о бюджете, а позже установленного законодательством срока.</w:t>
      </w:r>
    </w:p>
    <w:p w:rsidR="004B2A3E" w:rsidRPr="008456A6" w:rsidRDefault="004B2A3E" w:rsidP="004B2A3E">
      <w:pPr>
        <w:spacing w:line="264" w:lineRule="auto"/>
        <w:ind w:firstLine="426"/>
        <w:jc w:val="both"/>
        <w:rPr>
          <w:color w:val="222222"/>
          <w:sz w:val="28"/>
          <w:szCs w:val="28"/>
        </w:rPr>
      </w:pPr>
      <w:r w:rsidRPr="008456A6">
        <w:rPr>
          <w:color w:val="222222"/>
          <w:sz w:val="28"/>
          <w:szCs w:val="28"/>
        </w:rPr>
        <w:t>Кроме того, проведенным анализом соответствия представленного проверке Плана – графика</w:t>
      </w:r>
      <w:r w:rsidRPr="008456A6">
        <w:rPr>
          <w:sz w:val="28"/>
          <w:szCs w:val="28"/>
        </w:rPr>
        <w:t xml:space="preserve"> </w:t>
      </w:r>
      <w:r w:rsidRPr="008456A6">
        <w:rPr>
          <w:color w:val="222222"/>
          <w:sz w:val="28"/>
          <w:szCs w:val="28"/>
        </w:rPr>
        <w:t>на 2014 год единым требованиям к его формированию, утверждению и ведению установлено, что в нарушение пункта 5 Особенностей размещения:</w:t>
      </w:r>
    </w:p>
    <w:p w:rsidR="004B2A3E" w:rsidRPr="008456A6" w:rsidRDefault="004B2A3E" w:rsidP="004B2A3E">
      <w:pPr>
        <w:spacing w:line="264" w:lineRule="auto"/>
        <w:jc w:val="both"/>
        <w:rPr>
          <w:color w:val="222222"/>
          <w:sz w:val="28"/>
          <w:szCs w:val="28"/>
        </w:rPr>
      </w:pPr>
      <w:r w:rsidRPr="008456A6">
        <w:rPr>
          <w:color w:val="222222"/>
          <w:sz w:val="28"/>
          <w:szCs w:val="28"/>
        </w:rPr>
        <w:t>-подпункта 5 «а» - в столбцах 9 формы Плана-графика не указана итоговая информация о совокупных годовых объемах закупок:</w:t>
      </w:r>
    </w:p>
    <w:p w:rsidR="004B2A3E" w:rsidRPr="008456A6" w:rsidRDefault="004B2A3E" w:rsidP="004B2A3E">
      <w:pPr>
        <w:pStyle w:val="ad"/>
        <w:spacing w:before="0" w:beforeAutospacing="0" w:after="0" w:afterAutospacing="0" w:line="264" w:lineRule="auto"/>
        <w:jc w:val="both"/>
        <w:rPr>
          <w:sz w:val="28"/>
          <w:szCs w:val="28"/>
        </w:rPr>
      </w:pPr>
      <w:r w:rsidRPr="008456A6">
        <w:rPr>
          <w:sz w:val="28"/>
          <w:szCs w:val="28"/>
        </w:rPr>
        <w:t>-у субъектов малого предпринимательства, социально ориентированных некоммерческих организаций;</w:t>
      </w:r>
    </w:p>
    <w:p w:rsidR="004B2A3E" w:rsidRPr="008456A6" w:rsidRDefault="004B2A3E" w:rsidP="004B2A3E">
      <w:pPr>
        <w:pStyle w:val="ad"/>
        <w:spacing w:before="0" w:beforeAutospacing="0" w:after="0" w:afterAutospacing="0" w:line="264" w:lineRule="auto"/>
        <w:rPr>
          <w:sz w:val="28"/>
          <w:szCs w:val="28"/>
        </w:rPr>
      </w:pPr>
      <w:r w:rsidRPr="008456A6">
        <w:rPr>
          <w:sz w:val="28"/>
          <w:szCs w:val="28"/>
        </w:rPr>
        <w:lastRenderedPageBreak/>
        <w:t>-осуществляемых путем проведения запроса котировок.</w:t>
      </w:r>
    </w:p>
    <w:p w:rsidR="004B2A3E" w:rsidRPr="008456A6" w:rsidRDefault="004B2A3E" w:rsidP="004B2A3E">
      <w:pPr>
        <w:spacing w:line="264" w:lineRule="auto"/>
        <w:ind w:firstLine="426"/>
        <w:jc w:val="both"/>
        <w:rPr>
          <w:color w:val="222222"/>
          <w:sz w:val="28"/>
          <w:szCs w:val="28"/>
        </w:rPr>
      </w:pPr>
      <w:r w:rsidRPr="008456A6">
        <w:rPr>
          <w:color w:val="222222"/>
          <w:sz w:val="28"/>
          <w:szCs w:val="28"/>
        </w:rPr>
        <w:t xml:space="preserve">Проведенным анализом своевременности и правомерности заключения муниципальных контрактов установлено, что </w:t>
      </w:r>
      <w:r w:rsidRPr="008456A6">
        <w:rPr>
          <w:sz w:val="28"/>
          <w:szCs w:val="28"/>
        </w:rPr>
        <w:t xml:space="preserve">МОБУ «ЦВР» </w:t>
      </w:r>
      <w:r w:rsidRPr="008456A6">
        <w:rPr>
          <w:color w:val="222222"/>
          <w:sz w:val="28"/>
          <w:szCs w:val="28"/>
        </w:rPr>
        <w:t>заключены муниципальные контракты на коммунальные услуги (включая энергоснабжение) в декабре 2013 года со сроком исполнения расходных обязательств в 2014 году на общую сумму 2 369 307,25 руб.</w:t>
      </w:r>
    </w:p>
    <w:p w:rsidR="004B2A3E" w:rsidRPr="008456A6" w:rsidRDefault="004B2A3E" w:rsidP="004B2A3E">
      <w:pPr>
        <w:spacing w:line="264" w:lineRule="auto"/>
        <w:ind w:firstLine="426"/>
        <w:jc w:val="both"/>
        <w:rPr>
          <w:color w:val="222222"/>
          <w:sz w:val="28"/>
          <w:szCs w:val="28"/>
        </w:rPr>
      </w:pPr>
      <w:r w:rsidRPr="008456A6">
        <w:rPr>
          <w:sz w:val="28"/>
          <w:szCs w:val="28"/>
        </w:rPr>
        <w:t>Кроме того, в соответствии с пунктами 8 и 29 части 1 статьи 93 Закона № 44-ФЗ</w:t>
      </w:r>
      <w:r w:rsidRPr="008456A6">
        <w:rPr>
          <w:color w:val="222222"/>
          <w:sz w:val="28"/>
          <w:szCs w:val="28"/>
        </w:rPr>
        <w:t xml:space="preserve"> с ООО «ТВС Арсеньев» (</w:t>
      </w:r>
      <w:r w:rsidRPr="008456A6">
        <w:rPr>
          <w:sz w:val="28"/>
          <w:szCs w:val="28"/>
        </w:rPr>
        <w:t>в связи со сменой поставщика услуг)</w:t>
      </w:r>
      <w:r w:rsidRPr="008456A6">
        <w:rPr>
          <w:color w:val="222222"/>
          <w:sz w:val="28"/>
          <w:szCs w:val="28"/>
        </w:rPr>
        <w:t xml:space="preserve"> заключены муниципальные контракты на общую сумму 699 387,60 руб.</w:t>
      </w:r>
    </w:p>
    <w:p w:rsidR="004B2A3E" w:rsidRPr="008456A6" w:rsidRDefault="004B2A3E" w:rsidP="004B2A3E">
      <w:pPr>
        <w:spacing w:line="264" w:lineRule="auto"/>
        <w:ind w:firstLine="426"/>
        <w:jc w:val="both"/>
        <w:rPr>
          <w:color w:val="222222"/>
          <w:sz w:val="28"/>
          <w:szCs w:val="28"/>
        </w:rPr>
      </w:pPr>
      <w:r w:rsidRPr="008456A6">
        <w:rPr>
          <w:color w:val="222222"/>
          <w:sz w:val="28"/>
          <w:szCs w:val="28"/>
        </w:rPr>
        <w:t xml:space="preserve">Следует отметить, что Планом ФХД на 2014 год расходы на оплату коммунальных услуг (включая энергоснабжение) предусмотрены в общей сумме 2 260 000,00 руб. </w:t>
      </w:r>
    </w:p>
    <w:p w:rsidR="004B2A3E" w:rsidRPr="008456A6" w:rsidRDefault="004B2A3E" w:rsidP="004B2A3E">
      <w:pPr>
        <w:pStyle w:val="ConsPlusNormal"/>
        <w:ind w:firstLine="426"/>
        <w:jc w:val="both"/>
        <w:rPr>
          <w:rFonts w:ascii="Times New Roman" w:hAnsi="Times New Roman" w:cs="Times New Roman"/>
          <w:sz w:val="28"/>
          <w:szCs w:val="28"/>
        </w:rPr>
      </w:pPr>
      <w:proofErr w:type="gramStart"/>
      <w:r w:rsidRPr="008456A6">
        <w:rPr>
          <w:rFonts w:ascii="Times New Roman" w:hAnsi="Times New Roman" w:cs="Times New Roman"/>
          <w:sz w:val="28"/>
          <w:szCs w:val="28"/>
        </w:rPr>
        <w:t xml:space="preserve">Таким образом, на 2014 год МОБУ «ЦВР» принято расходных обязательств по исполнению муниципальных контрактов на оплату коммунальных услуг сверх установленных планом ФХД на 2014 год на сумму 808 694,85 руб. Между тем, </w:t>
      </w:r>
      <w:hyperlink r:id="rId9" w:history="1">
        <w:r w:rsidRPr="008456A6">
          <w:rPr>
            <w:rFonts w:ascii="Times New Roman" w:hAnsi="Times New Roman" w:cs="Times New Roman"/>
            <w:sz w:val="28"/>
            <w:szCs w:val="28"/>
          </w:rPr>
          <w:t>статьей 72</w:t>
        </w:r>
      </w:hyperlink>
      <w:r w:rsidRPr="008456A6">
        <w:rPr>
          <w:rFonts w:ascii="Times New Roman" w:hAnsi="Times New Roman" w:cs="Times New Roman"/>
          <w:sz w:val="28"/>
          <w:szCs w:val="28"/>
        </w:rPr>
        <w:t xml:space="preserve"> Бюджетного кодекса Российской Федерации установлено, что государственные контракты заключаются и оплачиваются в пределах лимитов бюджетных обязательств.</w:t>
      </w:r>
      <w:proofErr w:type="gramEnd"/>
    </w:p>
    <w:p w:rsidR="004B2A3E" w:rsidRPr="008456A6" w:rsidRDefault="004B2A3E" w:rsidP="004B2A3E">
      <w:pPr>
        <w:spacing w:line="264" w:lineRule="auto"/>
        <w:jc w:val="both"/>
        <w:rPr>
          <w:color w:val="222222"/>
          <w:sz w:val="28"/>
          <w:szCs w:val="28"/>
        </w:rPr>
      </w:pPr>
      <w:r w:rsidRPr="008456A6">
        <w:rPr>
          <w:color w:val="222222"/>
          <w:sz w:val="28"/>
          <w:szCs w:val="28"/>
        </w:rPr>
        <w:t xml:space="preserve">       Фактические расходы по коммунальным услугам (включая энергоснабжение) в 2014 году составили 1 404 676,63 руб.</w:t>
      </w:r>
    </w:p>
    <w:p w:rsidR="004B2A3E" w:rsidRPr="008456A6" w:rsidRDefault="004B2A3E" w:rsidP="004B2A3E">
      <w:pPr>
        <w:pStyle w:val="ConsPlusNormal"/>
        <w:ind w:firstLine="0"/>
        <w:jc w:val="both"/>
        <w:rPr>
          <w:rFonts w:ascii="Times New Roman" w:hAnsi="Times New Roman" w:cs="Times New Roman"/>
          <w:color w:val="222222"/>
          <w:sz w:val="28"/>
          <w:szCs w:val="28"/>
        </w:rPr>
      </w:pPr>
      <w:r w:rsidRPr="008456A6">
        <w:rPr>
          <w:rFonts w:ascii="Times New Roman" w:hAnsi="Times New Roman" w:cs="Times New Roman"/>
          <w:color w:val="222222"/>
          <w:sz w:val="28"/>
          <w:szCs w:val="28"/>
        </w:rPr>
        <w:t xml:space="preserve">       </w:t>
      </w:r>
      <w:proofErr w:type="gramStart"/>
      <w:r w:rsidRPr="008456A6">
        <w:rPr>
          <w:rFonts w:ascii="Times New Roman" w:hAnsi="Times New Roman" w:cs="Times New Roman"/>
          <w:color w:val="222222"/>
          <w:sz w:val="28"/>
          <w:szCs w:val="28"/>
        </w:rPr>
        <w:t xml:space="preserve">В связи с несвоевременным получением (23.12.2014) директором </w:t>
      </w:r>
      <w:r w:rsidRPr="008456A6">
        <w:rPr>
          <w:rFonts w:ascii="Times New Roman" w:hAnsi="Times New Roman" w:cs="Times New Roman"/>
          <w:sz w:val="28"/>
          <w:szCs w:val="28"/>
        </w:rPr>
        <w:t xml:space="preserve">МОБУ «ЦВР» сертификата ключа проверки электронной подписи </w:t>
      </w:r>
      <w:r w:rsidRPr="008456A6">
        <w:rPr>
          <w:rFonts w:ascii="Times New Roman" w:hAnsi="Times New Roman" w:cs="Times New Roman"/>
          <w:color w:val="222222"/>
          <w:sz w:val="28"/>
          <w:szCs w:val="28"/>
        </w:rPr>
        <w:t xml:space="preserve">извещения </w:t>
      </w:r>
      <w:r w:rsidRPr="008456A6">
        <w:rPr>
          <w:rFonts w:ascii="Times New Roman" w:hAnsi="Times New Roman" w:cs="Times New Roman"/>
          <w:color w:val="222222"/>
          <w:sz w:val="28"/>
          <w:szCs w:val="28"/>
        </w:rPr>
        <w:br/>
        <w:t>№ 0320300150714000005 о проведении закупок у единственного поставщика (подрядчика, исполнителя, при закупе услуг холодного водоснабжения и водоотведения) и  № 0320300157714000003 (отпуск питьевой воды и прием сточных вод) опубликованы на официальном сайте 30.12.2014, т.е. с нарушением установленных сроков опубликования (часть 2 статьи 93 Закона № 44-ФЗ).</w:t>
      </w:r>
      <w:proofErr w:type="gramEnd"/>
    </w:p>
    <w:p w:rsidR="004B2A3E" w:rsidRPr="008456A6" w:rsidRDefault="004B2A3E" w:rsidP="004B2A3E">
      <w:pPr>
        <w:spacing w:line="264" w:lineRule="auto"/>
        <w:ind w:firstLine="425"/>
        <w:jc w:val="both"/>
        <w:rPr>
          <w:sz w:val="28"/>
          <w:szCs w:val="28"/>
          <w:lang w:eastAsia="en-US"/>
        </w:rPr>
      </w:pPr>
      <w:r w:rsidRPr="008456A6">
        <w:rPr>
          <w:color w:val="222222"/>
          <w:sz w:val="28"/>
          <w:szCs w:val="28"/>
        </w:rPr>
        <w:t xml:space="preserve">В 2015 году </w:t>
      </w:r>
      <w:r w:rsidRPr="008456A6">
        <w:rPr>
          <w:bCs/>
          <w:sz w:val="28"/>
          <w:szCs w:val="28"/>
        </w:rPr>
        <w:t xml:space="preserve">МОБУ </w:t>
      </w:r>
      <w:r w:rsidRPr="008456A6">
        <w:rPr>
          <w:sz w:val="28"/>
          <w:szCs w:val="28"/>
        </w:rPr>
        <w:t xml:space="preserve">«ЦВР» </w:t>
      </w:r>
      <w:r w:rsidRPr="008456A6">
        <w:rPr>
          <w:color w:val="222222"/>
          <w:sz w:val="28"/>
          <w:szCs w:val="28"/>
        </w:rPr>
        <w:t xml:space="preserve">свои полномочия в части осуществления закупок за счет средств бюджета городского округа и целевых субсидий </w:t>
      </w:r>
      <w:r w:rsidRPr="008456A6">
        <w:rPr>
          <w:bCs/>
          <w:sz w:val="28"/>
          <w:szCs w:val="28"/>
        </w:rPr>
        <w:t xml:space="preserve">МОБУ </w:t>
      </w:r>
      <w:r w:rsidRPr="008456A6">
        <w:rPr>
          <w:sz w:val="28"/>
          <w:szCs w:val="28"/>
        </w:rPr>
        <w:t xml:space="preserve">«ЦВР» </w:t>
      </w:r>
      <w:r w:rsidRPr="008456A6">
        <w:rPr>
          <w:color w:val="222222"/>
          <w:sz w:val="28"/>
          <w:szCs w:val="28"/>
        </w:rPr>
        <w:t xml:space="preserve">реализовывало на основании требований Закона № 44-ФЗ; в части осуществления закупок </w:t>
      </w:r>
      <w:r w:rsidRPr="008456A6">
        <w:rPr>
          <w:sz w:val="28"/>
          <w:szCs w:val="28"/>
          <w:lang w:eastAsia="en-US"/>
        </w:rPr>
        <w:t xml:space="preserve">за счет средств от приносящей доход деятельности </w:t>
      </w:r>
      <w:r w:rsidRPr="008456A6">
        <w:rPr>
          <w:sz w:val="28"/>
          <w:szCs w:val="28"/>
        </w:rPr>
        <w:t>– в соответствии с</w:t>
      </w:r>
      <w:r w:rsidRPr="008456A6">
        <w:rPr>
          <w:sz w:val="28"/>
          <w:szCs w:val="28"/>
          <w:lang w:eastAsia="en-US"/>
        </w:rPr>
        <w:t xml:space="preserve"> Законом  № 223-ФЗ. </w:t>
      </w:r>
    </w:p>
    <w:p w:rsidR="004B2A3E" w:rsidRPr="008456A6" w:rsidRDefault="004B2A3E" w:rsidP="004B2A3E">
      <w:pPr>
        <w:spacing w:line="264" w:lineRule="auto"/>
        <w:ind w:firstLine="426"/>
        <w:jc w:val="both"/>
        <w:rPr>
          <w:color w:val="222222"/>
          <w:sz w:val="28"/>
          <w:szCs w:val="28"/>
        </w:rPr>
      </w:pPr>
      <w:r w:rsidRPr="008456A6">
        <w:rPr>
          <w:color w:val="222222"/>
          <w:sz w:val="28"/>
          <w:szCs w:val="28"/>
        </w:rPr>
        <w:t xml:space="preserve">Проведенным анализом своевременности и правомерности заключения муниципальных контрактов установлено, что </w:t>
      </w:r>
      <w:r w:rsidRPr="008456A6">
        <w:rPr>
          <w:sz w:val="28"/>
          <w:szCs w:val="28"/>
        </w:rPr>
        <w:t>в соответствии с пунктами 8 и 29 части 1 статьи 93 Закона № 44-ФЗ</w:t>
      </w:r>
      <w:r w:rsidRPr="008456A6">
        <w:rPr>
          <w:color w:val="222222"/>
          <w:sz w:val="28"/>
          <w:szCs w:val="28"/>
        </w:rPr>
        <w:t xml:space="preserve"> </w:t>
      </w:r>
      <w:r w:rsidRPr="008456A6">
        <w:rPr>
          <w:sz w:val="28"/>
          <w:szCs w:val="28"/>
        </w:rPr>
        <w:t xml:space="preserve">МОБУ «ЦВР» </w:t>
      </w:r>
      <w:r w:rsidRPr="008456A6">
        <w:rPr>
          <w:color w:val="222222"/>
          <w:sz w:val="28"/>
          <w:szCs w:val="28"/>
        </w:rPr>
        <w:t>заключены муниципальные контракты на коммунальные услуги (включая энергоснабжение) на 2015 год на общую сумму 2 604 712,85 руб.</w:t>
      </w:r>
    </w:p>
    <w:p w:rsidR="004B2A3E" w:rsidRPr="008456A6" w:rsidRDefault="004B2A3E" w:rsidP="004B2A3E">
      <w:pPr>
        <w:spacing w:line="264" w:lineRule="auto"/>
        <w:ind w:firstLine="426"/>
        <w:jc w:val="both"/>
        <w:rPr>
          <w:color w:val="222222"/>
          <w:sz w:val="28"/>
          <w:szCs w:val="28"/>
        </w:rPr>
      </w:pPr>
      <w:r w:rsidRPr="008456A6">
        <w:rPr>
          <w:color w:val="222222"/>
          <w:sz w:val="28"/>
          <w:szCs w:val="28"/>
        </w:rPr>
        <w:t xml:space="preserve">Планом ФХД на 2015 год расходы на оплату коммунальных услуг (включая энергоснабжение) предусмотрены в общей сумме 1 555 628,00 руб. </w:t>
      </w:r>
    </w:p>
    <w:p w:rsidR="004B2A3E" w:rsidRPr="008456A6" w:rsidRDefault="004B2A3E" w:rsidP="004B2A3E">
      <w:pPr>
        <w:pStyle w:val="ConsPlusNormal"/>
        <w:ind w:firstLine="426"/>
        <w:jc w:val="both"/>
        <w:rPr>
          <w:rFonts w:ascii="Times New Roman" w:hAnsi="Times New Roman" w:cs="Times New Roman"/>
          <w:sz w:val="28"/>
          <w:szCs w:val="28"/>
        </w:rPr>
      </w:pPr>
      <w:proofErr w:type="gramStart"/>
      <w:r w:rsidRPr="008456A6">
        <w:rPr>
          <w:rFonts w:ascii="Times New Roman" w:hAnsi="Times New Roman" w:cs="Times New Roman"/>
          <w:sz w:val="28"/>
          <w:szCs w:val="28"/>
        </w:rPr>
        <w:t xml:space="preserve">Таким образом, на 2015 год МОБУ «ЦВР» принято расходных обязательств по исполнению муниципальных контрактов на оплату коммунальных услуг </w:t>
      </w:r>
      <w:r w:rsidRPr="008456A6">
        <w:rPr>
          <w:rFonts w:ascii="Times New Roman" w:hAnsi="Times New Roman" w:cs="Times New Roman"/>
          <w:sz w:val="28"/>
          <w:szCs w:val="28"/>
        </w:rPr>
        <w:lastRenderedPageBreak/>
        <w:t xml:space="preserve">сверх установленных планом ФХД на 2014 год на сумму 1 049 084,85 руб. В то же время, </w:t>
      </w:r>
      <w:hyperlink r:id="rId10" w:history="1">
        <w:r w:rsidRPr="008456A6">
          <w:rPr>
            <w:rFonts w:ascii="Times New Roman" w:hAnsi="Times New Roman" w:cs="Times New Roman"/>
            <w:sz w:val="28"/>
            <w:szCs w:val="28"/>
          </w:rPr>
          <w:t>статьей 72</w:t>
        </w:r>
      </w:hyperlink>
      <w:r w:rsidRPr="008456A6">
        <w:rPr>
          <w:rFonts w:ascii="Times New Roman" w:hAnsi="Times New Roman" w:cs="Times New Roman"/>
          <w:sz w:val="28"/>
          <w:szCs w:val="28"/>
        </w:rPr>
        <w:t xml:space="preserve"> Бюджетного кодекса Российской Федерации установлено, что государственные контракты заключаются и оплачиваются в пределах лимитов бюджетных обязательств.</w:t>
      </w:r>
      <w:proofErr w:type="gramEnd"/>
    </w:p>
    <w:p w:rsidR="004B2A3E" w:rsidRPr="008456A6" w:rsidRDefault="004B2A3E" w:rsidP="004B2A3E">
      <w:pPr>
        <w:spacing w:line="264" w:lineRule="auto"/>
        <w:ind w:firstLine="426"/>
        <w:jc w:val="both"/>
        <w:rPr>
          <w:color w:val="222222"/>
          <w:sz w:val="28"/>
          <w:szCs w:val="28"/>
        </w:rPr>
      </w:pPr>
      <w:r w:rsidRPr="008456A6">
        <w:rPr>
          <w:color w:val="222222"/>
          <w:sz w:val="28"/>
          <w:szCs w:val="28"/>
        </w:rPr>
        <w:t>Фактические расходы по коммунальным услугам (включая энергоснабжение) по состоянию на 01.12.2015 составили 1 063 430,44 руб.</w:t>
      </w:r>
    </w:p>
    <w:p w:rsidR="004B2A3E" w:rsidRPr="008456A6" w:rsidRDefault="004B2A3E" w:rsidP="004B2A3E">
      <w:pPr>
        <w:tabs>
          <w:tab w:val="left" w:pos="426"/>
        </w:tabs>
        <w:autoSpaceDE w:val="0"/>
        <w:autoSpaceDN w:val="0"/>
        <w:adjustRightInd w:val="0"/>
        <w:ind w:firstLine="426"/>
        <w:jc w:val="both"/>
        <w:rPr>
          <w:b/>
          <w:sz w:val="28"/>
          <w:szCs w:val="28"/>
        </w:rPr>
      </w:pPr>
      <w:r w:rsidRPr="008456A6">
        <w:rPr>
          <w:sz w:val="28"/>
          <w:szCs w:val="28"/>
        </w:rPr>
        <w:t xml:space="preserve">Выборочной проверкой наличия существенных и обязательных условий, определенных Гражданским кодексом Российской Федерации и Законом № 44-ФЗ, установлено, что в проверяемом периоде в договорах, заключенных </w:t>
      </w:r>
      <w:r w:rsidRPr="008456A6">
        <w:rPr>
          <w:bCs/>
          <w:sz w:val="28"/>
          <w:szCs w:val="28"/>
        </w:rPr>
        <w:t xml:space="preserve">МОБУ </w:t>
      </w:r>
      <w:r w:rsidRPr="008456A6">
        <w:rPr>
          <w:sz w:val="28"/>
          <w:szCs w:val="28"/>
        </w:rPr>
        <w:t>«ЦВР» с поставщиками и подрядчиками, в нарушение пункта 2 статьи 34 Закона № 44-ФЗ имели место случаи заключения договоров без указания сроков их исполнения.</w:t>
      </w:r>
    </w:p>
    <w:p w:rsidR="00CA2A75" w:rsidRDefault="00CA2A75" w:rsidP="00CA2A75">
      <w:pPr>
        <w:pStyle w:val="a4"/>
        <w:tabs>
          <w:tab w:val="left" w:pos="8080"/>
        </w:tabs>
        <w:jc w:val="both"/>
        <w:rPr>
          <w:b w:val="0"/>
          <w:szCs w:val="28"/>
        </w:rPr>
      </w:pPr>
      <w:r>
        <w:rPr>
          <w:b w:val="0"/>
          <w:szCs w:val="28"/>
        </w:rPr>
        <w:t xml:space="preserve">       Установленные  нарушения  недопустимы  и  должны  быть  устранены, а  поэтому  на  основании  изложенного, руководствуясь  статьёй 16 Федерального  закона  «Об  общих  принципах  организации  и  деятельности  контрольно-счётных  органов  субъектов  Российской  Федерации  и  муниципальных  образований»,</w:t>
      </w:r>
    </w:p>
    <w:p w:rsidR="00CA2A75" w:rsidRDefault="00CA2A75" w:rsidP="00CA2A75">
      <w:pPr>
        <w:jc w:val="center"/>
        <w:rPr>
          <w:sz w:val="22"/>
          <w:szCs w:val="22"/>
        </w:rPr>
      </w:pPr>
    </w:p>
    <w:p w:rsidR="00CA2A75" w:rsidRDefault="00CA2A75" w:rsidP="00CA2A75">
      <w:pPr>
        <w:jc w:val="center"/>
        <w:rPr>
          <w:sz w:val="24"/>
          <w:szCs w:val="24"/>
        </w:rPr>
      </w:pPr>
      <w:r>
        <w:rPr>
          <w:sz w:val="24"/>
          <w:szCs w:val="24"/>
        </w:rPr>
        <w:t>ПРЕДЛАГАЮ:</w:t>
      </w:r>
    </w:p>
    <w:p w:rsidR="00CA2A75" w:rsidRDefault="00CA2A75" w:rsidP="00CA2A75">
      <w:pPr>
        <w:jc w:val="both"/>
        <w:rPr>
          <w:sz w:val="28"/>
          <w:szCs w:val="28"/>
        </w:rPr>
      </w:pPr>
    </w:p>
    <w:p w:rsidR="00CA2A75" w:rsidRDefault="00CA2A75" w:rsidP="00CA2A75">
      <w:pPr>
        <w:jc w:val="both"/>
        <w:rPr>
          <w:sz w:val="28"/>
          <w:szCs w:val="28"/>
        </w:rPr>
      </w:pPr>
      <w:r>
        <w:rPr>
          <w:sz w:val="28"/>
          <w:szCs w:val="28"/>
        </w:rPr>
        <w:t xml:space="preserve">1.Безотлагательно  рассмотреть  настоящее  представление  и  обсудить  его  </w:t>
      </w:r>
      <w:proofErr w:type="gramStart"/>
      <w:r>
        <w:rPr>
          <w:sz w:val="28"/>
          <w:szCs w:val="28"/>
        </w:rPr>
        <w:t>на</w:t>
      </w:r>
      <w:proofErr w:type="gramEnd"/>
    </w:p>
    <w:p w:rsidR="00CA2A75" w:rsidRDefault="00CA2A75" w:rsidP="00CA2A75">
      <w:pPr>
        <w:jc w:val="both"/>
        <w:rPr>
          <w:sz w:val="28"/>
          <w:szCs w:val="28"/>
        </w:rPr>
      </w:pPr>
      <w:proofErr w:type="gramStart"/>
      <w:r>
        <w:rPr>
          <w:sz w:val="28"/>
          <w:szCs w:val="28"/>
        </w:rPr>
        <w:t>совещании</w:t>
      </w:r>
      <w:proofErr w:type="gramEnd"/>
      <w:r>
        <w:rPr>
          <w:sz w:val="28"/>
          <w:szCs w:val="28"/>
        </w:rPr>
        <w:t>.</w:t>
      </w:r>
    </w:p>
    <w:p w:rsidR="00CA2A75" w:rsidRDefault="00CA2A75" w:rsidP="00CA2A75">
      <w:pPr>
        <w:jc w:val="both"/>
        <w:rPr>
          <w:sz w:val="28"/>
          <w:szCs w:val="28"/>
        </w:rPr>
      </w:pPr>
      <w:r>
        <w:rPr>
          <w:sz w:val="28"/>
          <w:szCs w:val="28"/>
        </w:rPr>
        <w:t>2.Принять  все  необходимые  меры  для  устранения  и  недопущения  впредь</w:t>
      </w:r>
    </w:p>
    <w:p w:rsidR="00CA2A75" w:rsidRDefault="00CA2A75" w:rsidP="00CA2A75">
      <w:pPr>
        <w:tabs>
          <w:tab w:val="left" w:pos="0"/>
        </w:tabs>
        <w:jc w:val="both"/>
        <w:rPr>
          <w:sz w:val="28"/>
          <w:szCs w:val="28"/>
        </w:rPr>
      </w:pPr>
      <w:r>
        <w:rPr>
          <w:sz w:val="28"/>
          <w:szCs w:val="28"/>
        </w:rPr>
        <w:t>выявленных нарушений, в том числе:</w:t>
      </w:r>
    </w:p>
    <w:p w:rsidR="004B2A3E" w:rsidRPr="00CA2A75" w:rsidRDefault="004B2A3E" w:rsidP="004B2A3E">
      <w:pPr>
        <w:tabs>
          <w:tab w:val="left" w:pos="0"/>
        </w:tabs>
        <w:jc w:val="both"/>
        <w:rPr>
          <w:sz w:val="28"/>
          <w:szCs w:val="28"/>
        </w:rPr>
      </w:pPr>
      <w:r w:rsidRPr="00CA2A75">
        <w:rPr>
          <w:bCs/>
          <w:sz w:val="28"/>
          <w:szCs w:val="28"/>
        </w:rPr>
        <w:t>-</w:t>
      </w:r>
      <w:r w:rsidRPr="00CA2A75">
        <w:rPr>
          <w:sz w:val="28"/>
          <w:szCs w:val="28"/>
        </w:rPr>
        <w:t xml:space="preserve">провести детальный анализ замечаний и нарушений, выявленных КСП </w:t>
      </w:r>
      <w:r w:rsidR="001B6E5B">
        <w:rPr>
          <w:sz w:val="28"/>
          <w:szCs w:val="28"/>
        </w:rPr>
        <w:t xml:space="preserve">АГО </w:t>
      </w:r>
      <w:r w:rsidRPr="00CA2A75">
        <w:rPr>
          <w:sz w:val="28"/>
          <w:szCs w:val="28"/>
        </w:rPr>
        <w:t>при проведении контрольного мероприятия;</w:t>
      </w:r>
    </w:p>
    <w:p w:rsidR="004B2A3E" w:rsidRPr="00CA2A75" w:rsidRDefault="004B2A3E" w:rsidP="004B2A3E">
      <w:pPr>
        <w:pStyle w:val="ConsPlusNormal"/>
        <w:ind w:firstLine="0"/>
        <w:jc w:val="both"/>
        <w:rPr>
          <w:rFonts w:ascii="Times New Roman" w:hAnsi="Times New Roman" w:cs="Times New Roman"/>
          <w:sz w:val="28"/>
          <w:szCs w:val="28"/>
        </w:rPr>
      </w:pPr>
      <w:r w:rsidRPr="00CA2A75">
        <w:rPr>
          <w:color w:val="000000"/>
          <w:sz w:val="28"/>
          <w:szCs w:val="28"/>
        </w:rPr>
        <w:t>-</w:t>
      </w:r>
      <w:r w:rsidRPr="00CA2A75">
        <w:rPr>
          <w:rFonts w:ascii="Times New Roman" w:hAnsi="Times New Roman" w:cs="Times New Roman"/>
          <w:sz w:val="28"/>
          <w:szCs w:val="28"/>
        </w:rPr>
        <w:t xml:space="preserve">усилить </w:t>
      </w:r>
      <w:proofErr w:type="gramStart"/>
      <w:r w:rsidRPr="00CA2A75">
        <w:rPr>
          <w:rFonts w:ascii="Times New Roman" w:hAnsi="Times New Roman" w:cs="Times New Roman"/>
          <w:sz w:val="28"/>
          <w:szCs w:val="28"/>
        </w:rPr>
        <w:t>контроль за</w:t>
      </w:r>
      <w:proofErr w:type="gramEnd"/>
      <w:r w:rsidRPr="00CA2A75">
        <w:rPr>
          <w:rFonts w:ascii="Times New Roman" w:hAnsi="Times New Roman" w:cs="Times New Roman"/>
          <w:sz w:val="28"/>
          <w:szCs w:val="28"/>
        </w:rPr>
        <w:t xml:space="preserve"> соблюдением требований к содержанию муниципальных контрактов (договоров) при их заключении (в части отражения существенных условий договоров (контрактов);</w:t>
      </w:r>
    </w:p>
    <w:p w:rsidR="004B2A3E" w:rsidRPr="00CA2A75" w:rsidRDefault="004B2A3E" w:rsidP="004B2A3E">
      <w:pPr>
        <w:pStyle w:val="ConsPlusNormal"/>
        <w:ind w:firstLine="0"/>
        <w:jc w:val="both"/>
        <w:rPr>
          <w:rFonts w:ascii="Times New Roman" w:hAnsi="Times New Roman" w:cs="Times New Roman"/>
          <w:sz w:val="28"/>
          <w:szCs w:val="28"/>
        </w:rPr>
      </w:pPr>
      <w:r w:rsidRPr="00CA2A75">
        <w:rPr>
          <w:rFonts w:ascii="Times New Roman" w:hAnsi="Times New Roman" w:cs="Times New Roman"/>
          <w:sz w:val="28"/>
          <w:szCs w:val="28"/>
        </w:rPr>
        <w:t>-заключать государственные контракты (договоры) в пределах лимитов бюджетных обязательств</w:t>
      </w:r>
      <w:r w:rsidR="00780CF6">
        <w:rPr>
          <w:rFonts w:ascii="Times New Roman" w:hAnsi="Times New Roman" w:cs="Times New Roman"/>
          <w:sz w:val="28"/>
          <w:szCs w:val="28"/>
        </w:rPr>
        <w:t>;</w:t>
      </w:r>
    </w:p>
    <w:p w:rsidR="004B2A3E" w:rsidRPr="00CA2A75" w:rsidRDefault="004B2A3E" w:rsidP="004B2A3E">
      <w:pPr>
        <w:autoSpaceDE w:val="0"/>
        <w:autoSpaceDN w:val="0"/>
        <w:adjustRightInd w:val="0"/>
        <w:jc w:val="both"/>
        <w:rPr>
          <w:sz w:val="28"/>
          <w:szCs w:val="28"/>
        </w:rPr>
      </w:pPr>
      <w:r w:rsidRPr="00CA2A75">
        <w:rPr>
          <w:sz w:val="28"/>
          <w:szCs w:val="28"/>
        </w:rPr>
        <w:t>-привлечь виновных лиц за допущенные нарушения и выявленные недостатки в их деятельности к дисциплинарной ответственности.</w:t>
      </w:r>
    </w:p>
    <w:p w:rsidR="003C524D" w:rsidRDefault="003C524D" w:rsidP="003C524D">
      <w:pPr>
        <w:jc w:val="both"/>
        <w:rPr>
          <w:sz w:val="28"/>
          <w:szCs w:val="28"/>
        </w:rPr>
      </w:pPr>
      <w:r>
        <w:rPr>
          <w:sz w:val="28"/>
          <w:szCs w:val="28"/>
        </w:rPr>
        <w:t xml:space="preserve">       </w:t>
      </w:r>
      <w:r>
        <w:rPr>
          <w:sz w:val="28"/>
          <w:szCs w:val="28"/>
        </w:rPr>
        <w:t xml:space="preserve">В  течение  месяца  со  дня  получения  Представления  </w:t>
      </w:r>
      <w:bookmarkStart w:id="0" w:name="_GoBack"/>
      <w:bookmarkEnd w:id="0"/>
      <w:r>
        <w:rPr>
          <w:sz w:val="28"/>
          <w:szCs w:val="28"/>
        </w:rPr>
        <w:t>уведомить  в  письменной  форме  Контрольно-счётную  палату  о  принятых  по  результатам  рассмотрения  представления  решениях  и  мерах.</w:t>
      </w:r>
    </w:p>
    <w:p w:rsidR="000B5A91" w:rsidRDefault="000B5A91" w:rsidP="00962EF4">
      <w:pPr>
        <w:pStyle w:val="a4"/>
        <w:tabs>
          <w:tab w:val="left" w:pos="7938"/>
        </w:tabs>
        <w:ind w:firstLine="709"/>
        <w:jc w:val="both"/>
        <w:rPr>
          <w:b w:val="0"/>
          <w:szCs w:val="28"/>
        </w:rPr>
      </w:pPr>
    </w:p>
    <w:p w:rsidR="000B5A91" w:rsidRDefault="000B5A91" w:rsidP="00962EF4">
      <w:pPr>
        <w:pStyle w:val="a4"/>
        <w:tabs>
          <w:tab w:val="left" w:pos="7938"/>
        </w:tabs>
        <w:ind w:firstLine="709"/>
        <w:jc w:val="both"/>
        <w:rPr>
          <w:b w:val="0"/>
          <w:szCs w:val="28"/>
        </w:rPr>
      </w:pPr>
    </w:p>
    <w:p w:rsidR="004B2A3E" w:rsidRDefault="004B2A3E" w:rsidP="00962EF4">
      <w:pPr>
        <w:pStyle w:val="a4"/>
        <w:tabs>
          <w:tab w:val="left" w:pos="7938"/>
        </w:tabs>
        <w:ind w:firstLine="709"/>
        <w:jc w:val="both"/>
        <w:rPr>
          <w:b w:val="0"/>
          <w:szCs w:val="28"/>
        </w:rPr>
      </w:pPr>
    </w:p>
    <w:p w:rsidR="000B5A91" w:rsidRDefault="000B5A91" w:rsidP="000B5A91">
      <w:pPr>
        <w:pStyle w:val="a4"/>
        <w:tabs>
          <w:tab w:val="left" w:pos="7938"/>
        </w:tabs>
        <w:jc w:val="both"/>
        <w:rPr>
          <w:b w:val="0"/>
          <w:szCs w:val="28"/>
        </w:rPr>
      </w:pPr>
      <w:r>
        <w:rPr>
          <w:b w:val="0"/>
          <w:szCs w:val="28"/>
        </w:rPr>
        <w:t>Председатель</w:t>
      </w:r>
    </w:p>
    <w:p w:rsidR="000B5A91" w:rsidRDefault="000B5A91" w:rsidP="000B5A91">
      <w:pPr>
        <w:pStyle w:val="a4"/>
        <w:tabs>
          <w:tab w:val="left" w:pos="7938"/>
        </w:tabs>
        <w:jc w:val="both"/>
        <w:rPr>
          <w:b w:val="0"/>
          <w:szCs w:val="28"/>
        </w:rPr>
      </w:pPr>
      <w:r>
        <w:rPr>
          <w:b w:val="0"/>
          <w:szCs w:val="28"/>
        </w:rPr>
        <w:t xml:space="preserve">Контрольно-счётной палаты </w:t>
      </w:r>
    </w:p>
    <w:p w:rsidR="006E0F38" w:rsidRDefault="000B5A91" w:rsidP="000B5A91">
      <w:pPr>
        <w:pStyle w:val="a4"/>
        <w:tabs>
          <w:tab w:val="left" w:pos="7938"/>
        </w:tabs>
        <w:jc w:val="both"/>
        <w:rPr>
          <w:b w:val="0"/>
          <w:szCs w:val="28"/>
        </w:rPr>
      </w:pPr>
      <w:r>
        <w:rPr>
          <w:b w:val="0"/>
          <w:szCs w:val="28"/>
        </w:rPr>
        <w:t>Арсеньевского городского округа                                                          Н.А. Скорик</w:t>
      </w:r>
    </w:p>
    <w:p w:rsidR="000B5A91" w:rsidRPr="00856615" w:rsidRDefault="000B5A91" w:rsidP="000B5A91">
      <w:pPr>
        <w:pStyle w:val="a4"/>
        <w:tabs>
          <w:tab w:val="left" w:pos="7938"/>
        </w:tabs>
        <w:jc w:val="both"/>
        <w:rPr>
          <w:b w:val="0"/>
          <w:szCs w:val="28"/>
        </w:rPr>
      </w:pPr>
    </w:p>
    <w:sectPr w:rsidR="000B5A91" w:rsidRPr="00856615" w:rsidSect="006E0F38">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34" w:right="851" w:bottom="1135" w:left="1418" w:header="294"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9F1" w:rsidRDefault="00C839F1" w:rsidP="003A687D">
      <w:r>
        <w:separator/>
      </w:r>
    </w:p>
  </w:endnote>
  <w:endnote w:type="continuationSeparator" w:id="0">
    <w:p w:rsidR="00C839F1" w:rsidRDefault="00C839F1" w:rsidP="003A6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30" w:rsidRDefault="00743F3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30" w:rsidRDefault="00743F3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30" w:rsidRDefault="00743F3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9F1" w:rsidRDefault="00C839F1" w:rsidP="003A687D">
      <w:r>
        <w:separator/>
      </w:r>
    </w:p>
  </w:footnote>
  <w:footnote w:type="continuationSeparator" w:id="0">
    <w:p w:rsidR="00C839F1" w:rsidRDefault="00C839F1" w:rsidP="003A6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30" w:rsidRDefault="00743F3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30" w:rsidRDefault="00743F3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E84" w:rsidRDefault="00151E84">
    <w:pPr>
      <w:pStyle w:val="a8"/>
      <w:rPr>
        <w:noProof/>
        <w:color w:val="000000"/>
        <w:sz w:val="32"/>
        <w:vertAlign w:val="subscript"/>
      </w:rPr>
    </w:pPr>
    <w:r>
      <w:rPr>
        <w:noProof/>
        <w:color w:val="000000"/>
        <w:sz w:val="32"/>
        <w:vertAlign w:val="subscript"/>
      </w:rPr>
      <w:t xml:space="preserve">                             </w:t>
    </w:r>
    <w:r w:rsidR="00743F30">
      <w:rPr>
        <w:noProof/>
        <w:color w:val="000000"/>
        <w:sz w:val="32"/>
        <w:vertAlign w:val="subscript"/>
      </w:rPr>
      <w:t xml:space="preserve"> </w:t>
    </w:r>
    <w:r>
      <w:rPr>
        <w:noProof/>
        <w:color w:val="000000"/>
        <w:sz w:val="32"/>
        <w:vertAlign w:val="subscript"/>
      </w:rPr>
      <w:t xml:space="preserve">  </w:t>
    </w:r>
    <w:r w:rsidR="00375A1E">
      <w:rPr>
        <w:noProof/>
        <w:color w:val="000000"/>
        <w:sz w:val="32"/>
        <w:vertAlign w:val="subscript"/>
      </w:rPr>
      <w:drawing>
        <wp:inline distT="0" distB="0" distL="0" distR="0">
          <wp:extent cx="600075" cy="752475"/>
          <wp:effectExtent l="0" t="0" r="9525" b="9525"/>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752475"/>
                  </a:xfrm>
                  <a:prstGeom prst="rect">
                    <a:avLst/>
                  </a:prstGeom>
                  <a:noFill/>
                  <a:ln>
                    <a:noFill/>
                  </a:ln>
                </pic:spPr>
              </pic:pic>
            </a:graphicData>
          </a:graphic>
        </wp:inline>
      </w:drawing>
    </w:r>
  </w:p>
  <w:p w:rsidR="00151E84" w:rsidRDefault="00151E8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0B74"/>
    <w:multiLevelType w:val="singleLevel"/>
    <w:tmpl w:val="0242F66C"/>
    <w:lvl w:ilvl="0">
      <w:start w:val="1"/>
      <w:numFmt w:val="decimal"/>
      <w:lvlText w:val="%1."/>
      <w:lvlJc w:val="left"/>
      <w:pPr>
        <w:tabs>
          <w:tab w:val="num" w:pos="1108"/>
        </w:tabs>
        <w:ind w:left="110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rawingGridVerticalSpacing w:val="136"/>
  <w:displayHorizontalDrawingGridEvery w:val="0"/>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A1E"/>
    <w:rsid w:val="0001185B"/>
    <w:rsid w:val="0001330F"/>
    <w:rsid w:val="00057441"/>
    <w:rsid w:val="00061597"/>
    <w:rsid w:val="000862D3"/>
    <w:rsid w:val="000902F5"/>
    <w:rsid w:val="00091CD1"/>
    <w:rsid w:val="000B5A91"/>
    <w:rsid w:val="000B750E"/>
    <w:rsid w:val="000E5716"/>
    <w:rsid w:val="000F091F"/>
    <w:rsid w:val="001066CF"/>
    <w:rsid w:val="00110CF2"/>
    <w:rsid w:val="0011435C"/>
    <w:rsid w:val="00121773"/>
    <w:rsid w:val="00125E3F"/>
    <w:rsid w:val="00135B15"/>
    <w:rsid w:val="00151E84"/>
    <w:rsid w:val="00174907"/>
    <w:rsid w:val="001B6E5B"/>
    <w:rsid w:val="001C149D"/>
    <w:rsid w:val="001E09E6"/>
    <w:rsid w:val="001F76EB"/>
    <w:rsid w:val="0021259B"/>
    <w:rsid w:val="0023446D"/>
    <w:rsid w:val="0024418A"/>
    <w:rsid w:val="002569EB"/>
    <w:rsid w:val="00283B18"/>
    <w:rsid w:val="00293233"/>
    <w:rsid w:val="00296588"/>
    <w:rsid w:val="002E41C0"/>
    <w:rsid w:val="002F5A54"/>
    <w:rsid w:val="0030322C"/>
    <w:rsid w:val="00315F55"/>
    <w:rsid w:val="00334554"/>
    <w:rsid w:val="00347B5E"/>
    <w:rsid w:val="0036064B"/>
    <w:rsid w:val="00375A1E"/>
    <w:rsid w:val="003823EB"/>
    <w:rsid w:val="00382B8F"/>
    <w:rsid w:val="003A687D"/>
    <w:rsid w:val="003C3F39"/>
    <w:rsid w:val="003C524D"/>
    <w:rsid w:val="003C7FC8"/>
    <w:rsid w:val="003D007C"/>
    <w:rsid w:val="003D0A34"/>
    <w:rsid w:val="003D5A4D"/>
    <w:rsid w:val="003F4799"/>
    <w:rsid w:val="00406503"/>
    <w:rsid w:val="00422ADD"/>
    <w:rsid w:val="00430CC8"/>
    <w:rsid w:val="00433E34"/>
    <w:rsid w:val="00450D6E"/>
    <w:rsid w:val="0045264A"/>
    <w:rsid w:val="0045764C"/>
    <w:rsid w:val="0046645D"/>
    <w:rsid w:val="00480087"/>
    <w:rsid w:val="00485969"/>
    <w:rsid w:val="004B2A3E"/>
    <w:rsid w:val="004E2283"/>
    <w:rsid w:val="004F03B2"/>
    <w:rsid w:val="004F16D3"/>
    <w:rsid w:val="005069CF"/>
    <w:rsid w:val="00507F72"/>
    <w:rsid w:val="00523FFF"/>
    <w:rsid w:val="00525AF7"/>
    <w:rsid w:val="00527911"/>
    <w:rsid w:val="00532CBE"/>
    <w:rsid w:val="005332C5"/>
    <w:rsid w:val="0054230E"/>
    <w:rsid w:val="00554B86"/>
    <w:rsid w:val="005613AB"/>
    <w:rsid w:val="00591729"/>
    <w:rsid w:val="005A0539"/>
    <w:rsid w:val="005A09A1"/>
    <w:rsid w:val="005A36B9"/>
    <w:rsid w:val="005A3C33"/>
    <w:rsid w:val="005B7DE3"/>
    <w:rsid w:val="005C356E"/>
    <w:rsid w:val="005D1E41"/>
    <w:rsid w:val="005D731F"/>
    <w:rsid w:val="005F53C7"/>
    <w:rsid w:val="00602CDA"/>
    <w:rsid w:val="00611D40"/>
    <w:rsid w:val="00634CF2"/>
    <w:rsid w:val="0063692D"/>
    <w:rsid w:val="006477DF"/>
    <w:rsid w:val="00652874"/>
    <w:rsid w:val="00654F11"/>
    <w:rsid w:val="0066464E"/>
    <w:rsid w:val="00666CB2"/>
    <w:rsid w:val="0068485B"/>
    <w:rsid w:val="00685006"/>
    <w:rsid w:val="00692F92"/>
    <w:rsid w:val="006A360A"/>
    <w:rsid w:val="006B1E55"/>
    <w:rsid w:val="006C49B3"/>
    <w:rsid w:val="006E0F38"/>
    <w:rsid w:val="006E5C5D"/>
    <w:rsid w:val="006F04B9"/>
    <w:rsid w:val="00704317"/>
    <w:rsid w:val="00710CA7"/>
    <w:rsid w:val="00743F30"/>
    <w:rsid w:val="007532BB"/>
    <w:rsid w:val="007624B6"/>
    <w:rsid w:val="0077662F"/>
    <w:rsid w:val="00780CF6"/>
    <w:rsid w:val="007C35C1"/>
    <w:rsid w:val="007D000D"/>
    <w:rsid w:val="007E1F85"/>
    <w:rsid w:val="007E3A93"/>
    <w:rsid w:val="007F11DF"/>
    <w:rsid w:val="00800C96"/>
    <w:rsid w:val="00814D23"/>
    <w:rsid w:val="00817B98"/>
    <w:rsid w:val="00827222"/>
    <w:rsid w:val="00830DE8"/>
    <w:rsid w:val="008456A6"/>
    <w:rsid w:val="00847897"/>
    <w:rsid w:val="008511C0"/>
    <w:rsid w:val="00853A1A"/>
    <w:rsid w:val="00856615"/>
    <w:rsid w:val="008668B2"/>
    <w:rsid w:val="008737CE"/>
    <w:rsid w:val="008A7033"/>
    <w:rsid w:val="0090296B"/>
    <w:rsid w:val="00905BD0"/>
    <w:rsid w:val="00962EF4"/>
    <w:rsid w:val="009734FE"/>
    <w:rsid w:val="00985EA9"/>
    <w:rsid w:val="009A279A"/>
    <w:rsid w:val="009B7DAE"/>
    <w:rsid w:val="009C7D88"/>
    <w:rsid w:val="009D177B"/>
    <w:rsid w:val="009D42F0"/>
    <w:rsid w:val="009E370E"/>
    <w:rsid w:val="009F390B"/>
    <w:rsid w:val="00A16593"/>
    <w:rsid w:val="00A2445C"/>
    <w:rsid w:val="00A30442"/>
    <w:rsid w:val="00A47833"/>
    <w:rsid w:val="00A506DF"/>
    <w:rsid w:val="00A636EE"/>
    <w:rsid w:val="00A7228D"/>
    <w:rsid w:val="00A742A8"/>
    <w:rsid w:val="00A76527"/>
    <w:rsid w:val="00A96AE4"/>
    <w:rsid w:val="00AA4131"/>
    <w:rsid w:val="00AA5A80"/>
    <w:rsid w:val="00AE0960"/>
    <w:rsid w:val="00B20EF6"/>
    <w:rsid w:val="00B41446"/>
    <w:rsid w:val="00B41450"/>
    <w:rsid w:val="00B70F85"/>
    <w:rsid w:val="00B82A11"/>
    <w:rsid w:val="00C03397"/>
    <w:rsid w:val="00C0799F"/>
    <w:rsid w:val="00C22A54"/>
    <w:rsid w:val="00C305BA"/>
    <w:rsid w:val="00C30D30"/>
    <w:rsid w:val="00C31053"/>
    <w:rsid w:val="00C32DAD"/>
    <w:rsid w:val="00C411F5"/>
    <w:rsid w:val="00C839F1"/>
    <w:rsid w:val="00C84E3A"/>
    <w:rsid w:val="00CA2A75"/>
    <w:rsid w:val="00CA70E3"/>
    <w:rsid w:val="00CA7180"/>
    <w:rsid w:val="00CD40FF"/>
    <w:rsid w:val="00CD69F2"/>
    <w:rsid w:val="00CE4DD4"/>
    <w:rsid w:val="00CE6FD2"/>
    <w:rsid w:val="00D3249D"/>
    <w:rsid w:val="00D4625A"/>
    <w:rsid w:val="00D50862"/>
    <w:rsid w:val="00D51D8F"/>
    <w:rsid w:val="00D51E36"/>
    <w:rsid w:val="00D578A5"/>
    <w:rsid w:val="00D86AF5"/>
    <w:rsid w:val="00D91BA2"/>
    <w:rsid w:val="00DD1EC0"/>
    <w:rsid w:val="00DE45F1"/>
    <w:rsid w:val="00E51339"/>
    <w:rsid w:val="00E52C2D"/>
    <w:rsid w:val="00E61DE6"/>
    <w:rsid w:val="00E80907"/>
    <w:rsid w:val="00E91284"/>
    <w:rsid w:val="00E920BD"/>
    <w:rsid w:val="00EA69F1"/>
    <w:rsid w:val="00ED6EDC"/>
    <w:rsid w:val="00EE2161"/>
    <w:rsid w:val="00EF39C1"/>
    <w:rsid w:val="00F02FBA"/>
    <w:rsid w:val="00F0408A"/>
    <w:rsid w:val="00F15B0B"/>
    <w:rsid w:val="00F20EAC"/>
    <w:rsid w:val="00F34D15"/>
    <w:rsid w:val="00F37D49"/>
    <w:rsid w:val="00F5168E"/>
    <w:rsid w:val="00F554D6"/>
    <w:rsid w:val="00F81559"/>
    <w:rsid w:val="00F84574"/>
    <w:rsid w:val="00F86FD1"/>
    <w:rsid w:val="00FA4EA4"/>
    <w:rsid w:val="00FB6EFA"/>
    <w:rsid w:val="00FC7D9E"/>
    <w:rsid w:val="00FD3C0A"/>
    <w:rsid w:val="00FD501A"/>
    <w:rsid w:val="00FE7A11"/>
    <w:rsid w:val="00FF4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qFormat/>
    <w:pPr>
      <w:keepNext/>
      <w:spacing w:line="360" w:lineRule="auto"/>
      <w:jc w:val="center"/>
      <w:outlineLvl w:val="0"/>
    </w:pPr>
    <w:rPr>
      <w:b/>
      <w:sz w:val="26"/>
    </w:rPr>
  </w:style>
  <w:style w:type="paragraph" w:styleId="2">
    <w:name w:val="heading 2"/>
    <w:basedOn w:val="a"/>
    <w:next w:val="a"/>
    <w:qFormat/>
    <w:pPr>
      <w:keepNext/>
      <w:jc w:val="both"/>
      <w:outlineLvl w:val="1"/>
    </w:pPr>
    <w:rPr>
      <w:sz w:val="26"/>
    </w:rPr>
  </w:style>
  <w:style w:type="paragraph" w:styleId="3">
    <w:name w:val="heading 3"/>
    <w:basedOn w:val="a"/>
    <w:next w:val="a"/>
    <w:qFormat/>
    <w:pPr>
      <w:keepNext/>
      <w:ind w:right="-105"/>
      <w:jc w:val="center"/>
      <w:outlineLvl w:val="2"/>
    </w:pPr>
    <w:rPr>
      <w:b/>
      <w:spacing w:val="2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Гиперссылка1"/>
    <w:rPr>
      <w:color w:val="0000FF"/>
      <w:u w:val="single"/>
    </w:rPr>
  </w:style>
  <w:style w:type="paragraph" w:styleId="a3">
    <w:name w:val="Body Text Indent"/>
    <w:basedOn w:val="a"/>
    <w:pPr>
      <w:autoSpaceDE w:val="0"/>
      <w:autoSpaceDN w:val="0"/>
      <w:adjustRightInd w:val="0"/>
      <w:ind w:left="1309"/>
    </w:pPr>
    <w:rPr>
      <w:sz w:val="26"/>
    </w:rPr>
  </w:style>
  <w:style w:type="paragraph" w:styleId="a4">
    <w:name w:val="Body Text"/>
    <w:basedOn w:val="a"/>
    <w:link w:val="a5"/>
    <w:pPr>
      <w:widowControl/>
      <w:jc w:val="center"/>
    </w:pPr>
    <w:rPr>
      <w:b/>
      <w:sz w:val="28"/>
    </w:rPr>
  </w:style>
  <w:style w:type="paragraph" w:styleId="20">
    <w:name w:val="Body Text Indent 2"/>
    <w:basedOn w:val="a"/>
    <w:pPr>
      <w:ind w:firstLine="709"/>
      <w:jc w:val="both"/>
    </w:pPr>
    <w:rPr>
      <w:sz w:val="26"/>
    </w:rPr>
  </w:style>
  <w:style w:type="paragraph" w:styleId="30">
    <w:name w:val="Body Text Indent 3"/>
    <w:basedOn w:val="a"/>
    <w:pPr>
      <w:widowControl/>
      <w:ind w:firstLine="567"/>
      <w:jc w:val="both"/>
    </w:pPr>
    <w:rPr>
      <w:sz w:val="26"/>
    </w:rPr>
  </w:style>
  <w:style w:type="character" w:styleId="a6">
    <w:name w:val="Hyperlink"/>
    <w:rsid w:val="00A30442"/>
    <w:rPr>
      <w:color w:val="0000FF"/>
      <w:u w:val="single"/>
    </w:rPr>
  </w:style>
  <w:style w:type="paragraph" w:styleId="a7">
    <w:name w:val="Balloon Text"/>
    <w:basedOn w:val="a"/>
    <w:semiHidden/>
    <w:rsid w:val="00A30442"/>
    <w:rPr>
      <w:rFonts w:ascii="Tahoma" w:hAnsi="Tahoma" w:cs="Tahoma"/>
      <w:sz w:val="16"/>
      <w:szCs w:val="16"/>
    </w:rPr>
  </w:style>
  <w:style w:type="paragraph" w:styleId="a8">
    <w:name w:val="header"/>
    <w:basedOn w:val="a"/>
    <w:link w:val="a9"/>
    <w:uiPriority w:val="99"/>
    <w:unhideWhenUsed/>
    <w:rsid w:val="003A687D"/>
    <w:pPr>
      <w:tabs>
        <w:tab w:val="center" w:pos="4677"/>
        <w:tab w:val="right" w:pos="9355"/>
      </w:tabs>
    </w:pPr>
  </w:style>
  <w:style w:type="character" w:customStyle="1" w:styleId="a9">
    <w:name w:val="Верхний колонтитул Знак"/>
    <w:basedOn w:val="a0"/>
    <w:link w:val="a8"/>
    <w:uiPriority w:val="99"/>
    <w:rsid w:val="003A687D"/>
  </w:style>
  <w:style w:type="paragraph" w:styleId="aa">
    <w:name w:val="footer"/>
    <w:basedOn w:val="a"/>
    <w:link w:val="ab"/>
    <w:uiPriority w:val="99"/>
    <w:unhideWhenUsed/>
    <w:rsid w:val="003A687D"/>
    <w:pPr>
      <w:tabs>
        <w:tab w:val="center" w:pos="4677"/>
        <w:tab w:val="right" w:pos="9355"/>
      </w:tabs>
    </w:pPr>
  </w:style>
  <w:style w:type="character" w:customStyle="1" w:styleId="ab">
    <w:name w:val="Нижний колонтитул Знак"/>
    <w:basedOn w:val="a0"/>
    <w:link w:val="aa"/>
    <w:uiPriority w:val="99"/>
    <w:rsid w:val="003A687D"/>
  </w:style>
  <w:style w:type="paragraph" w:customStyle="1" w:styleId="ConsPlusNormal">
    <w:name w:val="ConsPlusNormal"/>
    <w:rsid w:val="00375A1E"/>
    <w:pPr>
      <w:widowControl w:val="0"/>
      <w:autoSpaceDE w:val="0"/>
      <w:autoSpaceDN w:val="0"/>
      <w:adjustRightInd w:val="0"/>
      <w:ind w:firstLine="720"/>
    </w:pPr>
    <w:rPr>
      <w:rFonts w:ascii="Arial" w:hAnsi="Arial" w:cs="Arial"/>
    </w:rPr>
  </w:style>
  <w:style w:type="paragraph" w:styleId="ac">
    <w:name w:val="No Spacing"/>
    <w:uiPriority w:val="99"/>
    <w:qFormat/>
    <w:rsid w:val="004B2A3E"/>
    <w:rPr>
      <w:sz w:val="24"/>
      <w:szCs w:val="24"/>
    </w:rPr>
  </w:style>
  <w:style w:type="paragraph" w:styleId="ad">
    <w:name w:val="Normal (Web)"/>
    <w:basedOn w:val="a"/>
    <w:uiPriority w:val="99"/>
    <w:unhideWhenUsed/>
    <w:rsid w:val="004B2A3E"/>
    <w:pPr>
      <w:widowControl/>
      <w:spacing w:before="100" w:beforeAutospacing="1" w:after="100" w:afterAutospacing="1"/>
    </w:pPr>
    <w:rPr>
      <w:sz w:val="24"/>
      <w:szCs w:val="24"/>
    </w:rPr>
  </w:style>
  <w:style w:type="character" w:customStyle="1" w:styleId="a5">
    <w:name w:val="Основной текст Знак"/>
    <w:basedOn w:val="a0"/>
    <w:link w:val="a4"/>
    <w:rsid w:val="00CA2A75"/>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qFormat/>
    <w:pPr>
      <w:keepNext/>
      <w:spacing w:line="360" w:lineRule="auto"/>
      <w:jc w:val="center"/>
      <w:outlineLvl w:val="0"/>
    </w:pPr>
    <w:rPr>
      <w:b/>
      <w:sz w:val="26"/>
    </w:rPr>
  </w:style>
  <w:style w:type="paragraph" w:styleId="2">
    <w:name w:val="heading 2"/>
    <w:basedOn w:val="a"/>
    <w:next w:val="a"/>
    <w:qFormat/>
    <w:pPr>
      <w:keepNext/>
      <w:jc w:val="both"/>
      <w:outlineLvl w:val="1"/>
    </w:pPr>
    <w:rPr>
      <w:sz w:val="26"/>
    </w:rPr>
  </w:style>
  <w:style w:type="paragraph" w:styleId="3">
    <w:name w:val="heading 3"/>
    <w:basedOn w:val="a"/>
    <w:next w:val="a"/>
    <w:qFormat/>
    <w:pPr>
      <w:keepNext/>
      <w:ind w:right="-105"/>
      <w:jc w:val="center"/>
      <w:outlineLvl w:val="2"/>
    </w:pPr>
    <w:rPr>
      <w:b/>
      <w:spacing w:val="2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Гиперссылка1"/>
    <w:rPr>
      <w:color w:val="0000FF"/>
      <w:u w:val="single"/>
    </w:rPr>
  </w:style>
  <w:style w:type="paragraph" w:styleId="a3">
    <w:name w:val="Body Text Indent"/>
    <w:basedOn w:val="a"/>
    <w:pPr>
      <w:autoSpaceDE w:val="0"/>
      <w:autoSpaceDN w:val="0"/>
      <w:adjustRightInd w:val="0"/>
      <w:ind w:left="1309"/>
    </w:pPr>
    <w:rPr>
      <w:sz w:val="26"/>
    </w:rPr>
  </w:style>
  <w:style w:type="paragraph" w:styleId="a4">
    <w:name w:val="Body Text"/>
    <w:basedOn w:val="a"/>
    <w:link w:val="a5"/>
    <w:pPr>
      <w:widowControl/>
      <w:jc w:val="center"/>
    </w:pPr>
    <w:rPr>
      <w:b/>
      <w:sz w:val="28"/>
    </w:rPr>
  </w:style>
  <w:style w:type="paragraph" w:styleId="20">
    <w:name w:val="Body Text Indent 2"/>
    <w:basedOn w:val="a"/>
    <w:pPr>
      <w:ind w:firstLine="709"/>
      <w:jc w:val="both"/>
    </w:pPr>
    <w:rPr>
      <w:sz w:val="26"/>
    </w:rPr>
  </w:style>
  <w:style w:type="paragraph" w:styleId="30">
    <w:name w:val="Body Text Indent 3"/>
    <w:basedOn w:val="a"/>
    <w:pPr>
      <w:widowControl/>
      <w:ind w:firstLine="567"/>
      <w:jc w:val="both"/>
    </w:pPr>
    <w:rPr>
      <w:sz w:val="26"/>
    </w:rPr>
  </w:style>
  <w:style w:type="character" w:styleId="a6">
    <w:name w:val="Hyperlink"/>
    <w:rsid w:val="00A30442"/>
    <w:rPr>
      <w:color w:val="0000FF"/>
      <w:u w:val="single"/>
    </w:rPr>
  </w:style>
  <w:style w:type="paragraph" w:styleId="a7">
    <w:name w:val="Balloon Text"/>
    <w:basedOn w:val="a"/>
    <w:semiHidden/>
    <w:rsid w:val="00A30442"/>
    <w:rPr>
      <w:rFonts w:ascii="Tahoma" w:hAnsi="Tahoma" w:cs="Tahoma"/>
      <w:sz w:val="16"/>
      <w:szCs w:val="16"/>
    </w:rPr>
  </w:style>
  <w:style w:type="paragraph" w:styleId="a8">
    <w:name w:val="header"/>
    <w:basedOn w:val="a"/>
    <w:link w:val="a9"/>
    <w:uiPriority w:val="99"/>
    <w:unhideWhenUsed/>
    <w:rsid w:val="003A687D"/>
    <w:pPr>
      <w:tabs>
        <w:tab w:val="center" w:pos="4677"/>
        <w:tab w:val="right" w:pos="9355"/>
      </w:tabs>
    </w:pPr>
  </w:style>
  <w:style w:type="character" w:customStyle="1" w:styleId="a9">
    <w:name w:val="Верхний колонтитул Знак"/>
    <w:basedOn w:val="a0"/>
    <w:link w:val="a8"/>
    <w:uiPriority w:val="99"/>
    <w:rsid w:val="003A687D"/>
  </w:style>
  <w:style w:type="paragraph" w:styleId="aa">
    <w:name w:val="footer"/>
    <w:basedOn w:val="a"/>
    <w:link w:val="ab"/>
    <w:uiPriority w:val="99"/>
    <w:unhideWhenUsed/>
    <w:rsid w:val="003A687D"/>
    <w:pPr>
      <w:tabs>
        <w:tab w:val="center" w:pos="4677"/>
        <w:tab w:val="right" w:pos="9355"/>
      </w:tabs>
    </w:pPr>
  </w:style>
  <w:style w:type="character" w:customStyle="1" w:styleId="ab">
    <w:name w:val="Нижний колонтитул Знак"/>
    <w:basedOn w:val="a0"/>
    <w:link w:val="aa"/>
    <w:uiPriority w:val="99"/>
    <w:rsid w:val="003A687D"/>
  </w:style>
  <w:style w:type="paragraph" w:customStyle="1" w:styleId="ConsPlusNormal">
    <w:name w:val="ConsPlusNormal"/>
    <w:rsid w:val="00375A1E"/>
    <w:pPr>
      <w:widowControl w:val="0"/>
      <w:autoSpaceDE w:val="0"/>
      <w:autoSpaceDN w:val="0"/>
      <w:adjustRightInd w:val="0"/>
      <w:ind w:firstLine="720"/>
    </w:pPr>
    <w:rPr>
      <w:rFonts w:ascii="Arial" w:hAnsi="Arial" w:cs="Arial"/>
    </w:rPr>
  </w:style>
  <w:style w:type="paragraph" w:styleId="ac">
    <w:name w:val="No Spacing"/>
    <w:uiPriority w:val="99"/>
    <w:qFormat/>
    <w:rsid w:val="004B2A3E"/>
    <w:rPr>
      <w:sz w:val="24"/>
      <w:szCs w:val="24"/>
    </w:rPr>
  </w:style>
  <w:style w:type="paragraph" w:styleId="ad">
    <w:name w:val="Normal (Web)"/>
    <w:basedOn w:val="a"/>
    <w:uiPriority w:val="99"/>
    <w:unhideWhenUsed/>
    <w:rsid w:val="004B2A3E"/>
    <w:pPr>
      <w:widowControl/>
      <w:spacing w:before="100" w:beforeAutospacing="1" w:after="100" w:afterAutospacing="1"/>
    </w:pPr>
    <w:rPr>
      <w:sz w:val="24"/>
      <w:szCs w:val="24"/>
    </w:rPr>
  </w:style>
  <w:style w:type="character" w:customStyle="1" w:styleId="a5">
    <w:name w:val="Основной текст Знак"/>
    <w:basedOn w:val="a0"/>
    <w:link w:val="a4"/>
    <w:rsid w:val="00CA2A75"/>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57830">
      <w:bodyDiv w:val="1"/>
      <w:marLeft w:val="0"/>
      <w:marRight w:val="0"/>
      <w:marTop w:val="0"/>
      <w:marBottom w:val="0"/>
      <w:divBdr>
        <w:top w:val="none" w:sz="0" w:space="0" w:color="auto"/>
        <w:left w:val="none" w:sz="0" w:space="0" w:color="auto"/>
        <w:bottom w:val="none" w:sz="0" w:space="0" w:color="auto"/>
        <w:right w:val="none" w:sz="0" w:space="0" w:color="auto"/>
      </w:divBdr>
    </w:div>
    <w:div w:id="1577011181">
      <w:bodyDiv w:val="1"/>
      <w:marLeft w:val="0"/>
      <w:marRight w:val="0"/>
      <w:marTop w:val="0"/>
      <w:marBottom w:val="0"/>
      <w:divBdr>
        <w:top w:val="none" w:sz="0" w:space="0" w:color="auto"/>
        <w:left w:val="none" w:sz="0" w:space="0" w:color="auto"/>
        <w:bottom w:val="none" w:sz="0" w:space="0" w:color="auto"/>
        <w:right w:val="none" w:sz="0" w:space="0" w:color="auto"/>
      </w:divBdr>
    </w:div>
    <w:div w:id="1693456034">
      <w:bodyDiv w:val="1"/>
      <w:marLeft w:val="0"/>
      <w:marRight w:val="0"/>
      <w:marTop w:val="0"/>
      <w:marBottom w:val="0"/>
      <w:divBdr>
        <w:top w:val="none" w:sz="0" w:space="0" w:color="auto"/>
        <w:left w:val="none" w:sz="0" w:space="0" w:color="auto"/>
        <w:bottom w:val="none" w:sz="0" w:space="0" w:color="auto"/>
        <w:right w:val="none" w:sz="0" w:space="0" w:color="auto"/>
      </w:divBdr>
    </w:div>
    <w:div w:id="183857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EDCD4F5667A9FD1BEB319401D9DFD05DF84EC07ABCB725CFD06DCC84BAC04A3F9BCAA67F6FD1V5r7X" TargetMode="External"/><Relationship Id="rId4" Type="http://schemas.microsoft.com/office/2007/relationships/stylesWithEffects" Target="stylesWithEffects.xml"/><Relationship Id="rId9" Type="http://schemas.openxmlformats.org/officeDocument/2006/relationships/hyperlink" Target="consultantplus://offline/ref=EDCD4F5667A9FD1BEB319401D9DFD05DF84EC07ABCB725CFD06DCC84BAC04A3F9BCAA67F6FD1V5r7X"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EM\Desktop\&#1041;&#1083;&#1072;&#1085;&#1082;&#1080;%20&#1050;&#1057;&#1055;\&#1041;&#1083;&#1072;&#1085;&#1082;-&#1059;&#1075;&#1083;&#1086;&#1074;&#1086;&#1081;%20&#1050;&#1057;&#105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F95E6-BAC4-4A1D-A285-863DEACE1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Бланк-Угловой КСП</Template>
  <TotalTime>1</TotalTime>
  <Pages>4</Pages>
  <Words>1440</Words>
  <Characters>8213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cp:revision>
  <cp:lastPrinted>2013-07-22T23:58:00Z</cp:lastPrinted>
  <dcterms:created xsi:type="dcterms:W3CDTF">2015-12-29T07:18:00Z</dcterms:created>
  <dcterms:modified xsi:type="dcterms:W3CDTF">2015-12-29T07:18:00Z</dcterms:modified>
</cp:coreProperties>
</file>